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20" w:lineRule="exact"/>
        <w:jc w:val="center"/>
        <w:rPr>
          <w:rFonts w:hAnsi="宋体" w:cs="宋体"/>
          <w:sz w:val="30"/>
          <w:szCs w:val="30"/>
        </w:rPr>
      </w:pPr>
    </w:p>
    <w:p>
      <w:pPr>
        <w:pStyle w:val="2"/>
        <w:spacing w:line="520" w:lineRule="exact"/>
        <w:rPr>
          <w:rFonts w:hint="eastAsia" w:ascii="仿宋_GB2312" w:hAnsi="宋体" w:eastAsia="仿宋_GB2312" w:cs="宋体"/>
          <w:sz w:val="30"/>
          <w:szCs w:val="30"/>
        </w:rPr>
      </w:pPr>
    </w:p>
    <w:p>
      <w:pPr>
        <w:pStyle w:val="2"/>
        <w:jc w:val="center"/>
        <w:rPr>
          <w:rFonts w:hint="eastAsia" w:ascii="仿宋_GB2312" w:hAnsi="仿宋_GB2312" w:eastAsia="宋体" w:cs="仿宋_GB2312"/>
          <w:kern w:val="2"/>
          <w:sz w:val="44"/>
          <w:szCs w:val="32"/>
          <w:lang w:val="en-US" w:eastAsia="zh-CN" w:bidi="ar-SA"/>
        </w:rPr>
      </w:pPr>
      <w:r>
        <w:rPr>
          <w:rFonts w:hint="eastAsia" w:ascii="仿宋_GB2312" w:hAnsi="仿宋_GB2312" w:eastAsia="宋体" w:cs="仿宋_GB2312"/>
          <w:kern w:val="2"/>
          <w:sz w:val="44"/>
          <w:szCs w:val="32"/>
          <w:lang w:val="en-US" w:eastAsia="zh-CN" w:bidi="ar-SA"/>
        </w:rPr>
        <w:t>最高人民法院</w:t>
      </w:r>
    </w:p>
    <w:p>
      <w:pPr>
        <w:pStyle w:val="2"/>
        <w:jc w:val="center"/>
        <w:rPr>
          <w:rFonts w:hint="eastAsia" w:ascii="仿宋_GB2312" w:hAnsi="仿宋_GB2312" w:eastAsia="宋体" w:cs="仿宋_GB2312"/>
          <w:kern w:val="2"/>
          <w:sz w:val="44"/>
          <w:szCs w:val="32"/>
          <w:lang w:val="en-US" w:eastAsia="zh-CN" w:bidi="ar-SA"/>
        </w:rPr>
      </w:pPr>
      <w:r>
        <w:rPr>
          <w:rFonts w:hint="eastAsia" w:ascii="仿宋_GB2312" w:hAnsi="仿宋_GB2312" w:eastAsia="宋体" w:cs="仿宋_GB2312"/>
          <w:kern w:val="2"/>
          <w:sz w:val="44"/>
          <w:szCs w:val="32"/>
          <w:lang w:val="en-US" w:eastAsia="zh-CN" w:bidi="ar-SA"/>
        </w:rPr>
        <w:t>关于办理人身安全保护令案件适用法律若干问题的规定</w:t>
      </w:r>
    </w:p>
    <w:p>
      <w:pPr>
        <w:pStyle w:val="2"/>
        <w:jc w:val="center"/>
        <w:rPr>
          <w:rFonts w:hint="eastAsia" w:ascii="华文中宋" w:hAnsi="华文中宋" w:eastAsia="华文中宋" w:cs="宋体"/>
          <w:spacing w:val="-20"/>
          <w:sz w:val="36"/>
          <w:szCs w:val="36"/>
        </w:rPr>
      </w:pPr>
    </w:p>
    <w:p>
      <w:pPr>
        <w:pStyle w:val="16"/>
        <w:rPr>
          <w:rFonts w:hint="eastAsia"/>
        </w:rPr>
      </w:pPr>
      <w:r>
        <w:rPr>
          <w:rFonts w:hint="eastAsia"/>
        </w:rPr>
        <w:t>法释〔2022〕17号</w:t>
      </w:r>
    </w:p>
    <w:p>
      <w:pPr>
        <w:pStyle w:val="2"/>
        <w:jc w:val="center"/>
        <w:rPr>
          <w:rFonts w:hint="eastAsia" w:ascii="华文中宋" w:hAnsi="华文中宋" w:eastAsia="华文中宋" w:cs="宋体"/>
          <w:spacing w:val="-20"/>
          <w:sz w:val="36"/>
          <w:szCs w:val="36"/>
        </w:rPr>
      </w:pP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为正确办理人身安全保护令案件，及时保护家庭暴力受害人的合法权益，根据《中华人民共和国民法典》《中华人民共和国反家庭暴力法》《中华人民共和国民事诉讼法》等相关法律规定，结合审判实践，制定本规定。</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第一条</w:t>
      </w:r>
      <w:r>
        <w:rPr>
          <w:rFonts w:hint="eastAsia" w:ascii="仿宋_GB2312" w:hAnsi="宋体" w:eastAsia="仿宋_GB2312" w:cs="宋体"/>
          <w:sz w:val="32"/>
          <w:szCs w:val="32"/>
        </w:rPr>
        <w:t xml:space="preserve">  当事人因遭受家庭暴力或者面临家庭暴力的现实危险，依照反家庭暴力法向人民法院申请人身安全保护令的，人民法院应当受理。</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向人民法院申请人身安全保护令，不以提起离婚等民事诉讼为条件。</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第二条</w:t>
      </w:r>
      <w:r>
        <w:rPr>
          <w:rFonts w:hint="eastAsia" w:ascii="仿宋_GB2312" w:hAnsi="宋体" w:eastAsia="仿宋_GB2312" w:cs="宋体"/>
          <w:sz w:val="32"/>
          <w:szCs w:val="32"/>
        </w:rPr>
        <w:t xml:space="preserve">  当事人因年老、残疾、重病等原因无法申请人身安全保护令，其近亲属、公安机关、民政部门、妇女联合会、居民委员会、村民委员会、残疾人联合会、依法设立的老年人组织、救助管理机构等，根据当事人意愿，依照反家庭暴力法第二十三条规定代为申请的，人民法院应当依法受理。</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第三条</w:t>
      </w:r>
      <w:r>
        <w:rPr>
          <w:rFonts w:hint="eastAsia" w:ascii="仿宋_GB2312" w:hAnsi="宋体" w:eastAsia="仿宋_GB2312" w:cs="宋体"/>
          <w:sz w:val="32"/>
          <w:szCs w:val="32"/>
        </w:rPr>
        <w:t xml:space="preserve">  家庭成员之间以冻饿或者经常性侮辱、诽谤、威胁、跟踪、骚扰等方式实施的身体或者精神侵害行为,应当认定为反家庭暴力法第二条规定的“家庭暴力”。</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第四条</w:t>
      </w:r>
      <w:r>
        <w:rPr>
          <w:rFonts w:hint="eastAsia" w:ascii="仿宋_GB2312" w:hAnsi="宋体" w:eastAsia="仿宋_GB2312" w:cs="宋体"/>
          <w:sz w:val="32"/>
          <w:szCs w:val="32"/>
        </w:rPr>
        <w:t xml:space="preserve">  反家庭暴力法第三十七条规定的“家庭成员以外共同生活的人”一般包括共同生活的儿媳、女婿、公婆、岳父母以及其他有监护、扶养、寄养等关系的人。</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第五条</w:t>
      </w:r>
      <w:r>
        <w:rPr>
          <w:rFonts w:hint="eastAsia" w:ascii="仿宋_GB2312" w:hAnsi="宋体" w:eastAsia="仿宋_GB2312" w:cs="宋体"/>
          <w:sz w:val="32"/>
          <w:szCs w:val="32"/>
        </w:rPr>
        <w:t xml:space="preserve">  当事人及其代理人对因客观原因不能自行收集的证据，申请人民法院调查收集，符合《最高人民法院关于适用〈中华人民共和国民事诉讼法〉的解释》第九十四条第一款规定情形的，人民法院应当调查收集。</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人民法院经审查，认为办理案件需要的证据符合《最高人民法院关于适用〈中华人民共和国民事诉讼法〉的解释》第九十六条规定的，应当调查收集。</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第六条</w:t>
      </w:r>
      <w:r>
        <w:rPr>
          <w:rFonts w:hint="eastAsia" w:ascii="仿宋_GB2312" w:hAnsi="宋体" w:eastAsia="仿宋_GB2312" w:cs="宋体"/>
          <w:sz w:val="32"/>
          <w:szCs w:val="32"/>
        </w:rPr>
        <w:t xml:space="preserve">  人身安全保护令案件中，人民法院根据相关证据，认为申请人遭受家庭暴力或者面临家庭暴力现实危险的事实存在较大可能性的，可以依法作出人身安全保护令。</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前款所称“相关证据”包括：</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（一）当事人的陈述；</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（二）公安机关出具的家庭暴力告诫书、行政处罚决定书；</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（三）公安机关的出警记录、讯问笔录、询问笔录、接警记录、报警回执等；</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（四）被申请人曾出具的悔过书或者保证书等；</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（五）记录家庭暴力发生或者解决过程等的视听资料；</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（六）被申请人与申请人或者其近亲属之间的电话录音、短信、即时通讯信息、电子邮件等；</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（七）医疗机构的诊疗记录；</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八）申请人或者被申请人所在单位、民政部门、居民委员会、村民委员会、妇女联合会、残疾人联合会、未成年人保护组织、依法设立的老年人组织、救助管理机构、反家暴社会公益机构等单位收到投诉、反映或者求助的记录；</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（九）未成年子女提供的与其年龄、智力相适应的证言或者亲友、邻居等其他证人证言；</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（十）伤情鉴定意见；</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（十一）其他能够证明申请人遭受家庭暴力或者面临家庭暴力现实危险的证据。</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第七条</w:t>
      </w:r>
      <w:r>
        <w:rPr>
          <w:rFonts w:hint="eastAsia" w:ascii="仿宋_GB2312" w:hAnsi="宋体" w:eastAsia="仿宋_GB2312" w:cs="宋体"/>
          <w:sz w:val="32"/>
          <w:szCs w:val="32"/>
        </w:rPr>
        <w:t xml:space="preserve">  人民法院可以通过在线诉讼平台、电话、短信、即时通讯工具、电子邮件等简便方式询问被申请人。被申请人未发表意见的，不影响人民法院依法作出人身安全保护令。</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第八条</w:t>
      </w:r>
      <w:r>
        <w:rPr>
          <w:rFonts w:hint="eastAsia" w:ascii="仿宋_GB2312" w:hAnsi="宋体" w:eastAsia="仿宋_GB2312" w:cs="宋体"/>
          <w:sz w:val="32"/>
          <w:szCs w:val="32"/>
        </w:rPr>
        <w:t xml:space="preserve">  被申请人认可存在家庭暴力行为，但辩称申请人有过错的，不影响人民法院依法作出人身安全保护令。</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第九条</w:t>
      </w:r>
      <w:r>
        <w:rPr>
          <w:rFonts w:hint="eastAsia" w:ascii="仿宋_GB2312" w:hAnsi="宋体" w:eastAsia="仿宋_GB2312" w:cs="宋体"/>
          <w:sz w:val="32"/>
          <w:szCs w:val="32"/>
        </w:rPr>
        <w:t xml:space="preserve">  离婚等案件中，当事人仅以人民法院曾作出人身安全保护令为由，主张存在家庭暴力事实的，人民法院应当根据《最高人民法院关于适用〈中华人民共和国民事诉讼法〉的解释》第一百零八条的规定，综合认定是否存在该事实。</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第十条</w:t>
      </w:r>
      <w:r>
        <w:rPr>
          <w:rFonts w:hint="eastAsia" w:ascii="仿宋_GB2312" w:hAnsi="宋体" w:eastAsia="仿宋_GB2312" w:cs="宋体"/>
          <w:sz w:val="32"/>
          <w:szCs w:val="32"/>
        </w:rPr>
        <w:t xml:space="preserve">  反家庭暴力法第二十九条第四项规定的“保护申请人人身安全的其他措施”可以包括下列措施：</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（一）禁止被申请人以电话、短信、即时通讯工具、电子邮件等方式侮辱、诽谤、威胁申请人及其相关近亲属；</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（二）禁止被申请人在申请人及其相关近亲属的住所、学校、工作单位等经常出入场所的一定范围内从事可能影响申请人及其相关近亲属正常生活、学习、工作的活动。</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第十一条</w:t>
      </w:r>
      <w:r>
        <w:rPr>
          <w:rFonts w:hint="eastAsia" w:ascii="仿宋_GB2312" w:hAnsi="宋体" w:eastAsia="仿宋_GB2312" w:cs="宋体"/>
          <w:sz w:val="32"/>
          <w:szCs w:val="32"/>
        </w:rPr>
        <w:t xml:space="preserve">  离婚案件中，判决不准离婚或者调解和好后，被申请人违反人身安全保护令实施家庭暴力的，可以认定为民事诉讼法第一百二十七条第七项规定的“新情况、新理由”。</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 xml:space="preserve">　第十二条 </w:t>
      </w:r>
      <w:r>
        <w:rPr>
          <w:rFonts w:hint="eastAsia" w:ascii="仿宋_GB2312" w:hAnsi="宋体" w:eastAsia="仿宋_GB2312" w:cs="宋体"/>
          <w:sz w:val="32"/>
          <w:szCs w:val="32"/>
        </w:rPr>
        <w:t xml:space="preserve"> 被申请人违反人身安全保护令，符合《中华人民共和国刑法》第三百一十三条规定的，以拒不执行判决、裁定罪定罪处罚；同时构成其他犯罪的，依照刑法有关规定处理。</w:t>
      </w:r>
    </w:p>
    <w:p>
      <w:pPr>
        <w:pStyle w:val="2"/>
        <w:spacing w:line="520" w:lineRule="exact"/>
        <w:rPr>
          <w:rFonts w:hint="eastAsia" w:ascii="仿宋_GB2312" w:hAnsi="宋体" w:eastAsia="仿宋_GB2312" w:cs="宋体"/>
          <w:sz w:val="32"/>
          <w:szCs w:val="32"/>
        </w:rPr>
      </w:pPr>
      <w:r>
        <w:rPr>
          <w:rFonts w:hint="eastAsia" w:ascii="仿宋_GB2312" w:hAnsi="宋体" w:eastAsia="仿宋_GB2312" w:cs="宋体"/>
          <w:sz w:val="32"/>
          <w:szCs w:val="32"/>
        </w:rPr>
        <w:t>　　</w:t>
      </w:r>
      <w:r>
        <w:rPr>
          <w:rFonts w:hint="eastAsia" w:ascii="黑体" w:hAnsi="黑体" w:eastAsia="黑体" w:cs="宋体"/>
          <w:sz w:val="32"/>
          <w:szCs w:val="32"/>
        </w:rPr>
        <w:t>第十三条</w:t>
      </w:r>
      <w:r>
        <w:rPr>
          <w:rFonts w:hint="eastAsia" w:ascii="仿宋_GB2312" w:hAnsi="宋体" w:eastAsia="仿宋_GB2312" w:cs="宋体"/>
          <w:sz w:val="32"/>
          <w:szCs w:val="32"/>
        </w:rPr>
        <w:t xml:space="preserve">  本规定自2022年8月1日起施行。</w:t>
      </w:r>
    </w:p>
    <w:p>
      <w:pPr>
        <w:pStyle w:val="2"/>
        <w:spacing w:line="520" w:lineRule="exact"/>
        <w:rPr>
          <w:rFonts w:hint="eastAsia" w:ascii="仿宋_GB2312" w:hAnsi="宋体" w:eastAsia="仿宋_GB2312" w:cs="宋体"/>
          <w:sz w:val="30"/>
          <w:szCs w:val="30"/>
        </w:rPr>
      </w:pPr>
    </w:p>
    <w:p>
      <w:pPr>
        <w:pStyle w:val="2"/>
        <w:spacing w:line="520" w:lineRule="exact"/>
        <w:rPr>
          <w:rFonts w:hint="eastAsia" w:ascii="仿宋_GB2312" w:hAnsi="宋体" w:eastAsia="仿宋_GB2312" w:cs="宋体"/>
          <w:sz w:val="30"/>
          <w:szCs w:val="30"/>
        </w:rPr>
      </w:pPr>
      <w:bookmarkStart w:id="0" w:name="_GoBack"/>
      <w:bookmarkEnd w:id="0"/>
    </w:p>
    <w:sectPr>
      <w:footerReference r:id="rId3" w:type="default"/>
      <w:footerReference r:id="rId4" w:type="even"/>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w:pict>
        <v:shape id="_x0000_s2049" o:spid="_x0000_s2049" o:spt="202" type="#_x0000_t202" style="position:absolute;left:0pt;margin-top:-9pt;height:144pt;width:144pt;mso-position-horizontal:in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4"/>
                  <w:rPr>
                    <w:rStyle w:val="8"/>
                  </w:rPr>
                </w:pPr>
                <w:r>
                  <w:rPr>
                    <w:rStyle w:val="8"/>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PAGE  </w:instrText>
                </w:r>
                <w:r>
                  <w:rPr>
                    <w:rStyle w:val="8"/>
                    <w:rFonts w:hint="eastAsia" w:ascii="宋体" w:hAnsi="宋体" w:eastAsia="宋体" w:cs="宋体"/>
                    <w:sz w:val="28"/>
                    <w:szCs w:val="28"/>
                  </w:rPr>
                  <w:fldChar w:fldCharType="separate"/>
                </w:r>
                <w:r>
                  <w:rPr>
                    <w:rStyle w:val="8"/>
                    <w:rFonts w:hint="eastAsia" w:ascii="宋体" w:hAnsi="宋体" w:eastAsia="宋体" w:cs="宋体"/>
                    <w:sz w:val="28"/>
                    <w:szCs w:val="28"/>
                  </w:rPr>
                  <w:t>0</w:t>
                </w:r>
                <w:r>
                  <w:rPr>
                    <w:rStyle w:val="8"/>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8"/>
      </w:rPr>
    </w:pPr>
    <w:r>
      <w:rPr>
        <w:rStyle w:val="8"/>
      </w:rPr>
      <w:fldChar w:fldCharType="begin"/>
    </w:r>
    <w:r>
      <w:rPr>
        <w:rStyle w:val="8"/>
      </w:rPr>
      <w:instrText xml:space="preserve">PAGE  </w:instrText>
    </w:r>
    <w:r>
      <w:rPr>
        <w:rStyle w:val="8"/>
      </w:rP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DcxMDIxYTE3OGQ0MmNkNzlkZWQ3NzExYzQxZjhiMTAifQ=="/>
  </w:docVars>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0F5EBA"/>
    <w:rsid w:val="00105524"/>
    <w:rsid w:val="00105EA6"/>
    <w:rsid w:val="001066EE"/>
    <w:rsid w:val="00106D59"/>
    <w:rsid w:val="001211C7"/>
    <w:rsid w:val="001252FD"/>
    <w:rsid w:val="00125415"/>
    <w:rsid w:val="00133F36"/>
    <w:rsid w:val="00141FB6"/>
    <w:rsid w:val="00156266"/>
    <w:rsid w:val="001614DD"/>
    <w:rsid w:val="001617A2"/>
    <w:rsid w:val="00162880"/>
    <w:rsid w:val="0016489F"/>
    <w:rsid w:val="0016665A"/>
    <w:rsid w:val="00170A71"/>
    <w:rsid w:val="001A7520"/>
    <w:rsid w:val="001B131A"/>
    <w:rsid w:val="001B153F"/>
    <w:rsid w:val="001B6523"/>
    <w:rsid w:val="001D4E14"/>
    <w:rsid w:val="001D5662"/>
    <w:rsid w:val="001E005E"/>
    <w:rsid w:val="001E1AB1"/>
    <w:rsid w:val="001F7F88"/>
    <w:rsid w:val="002064F7"/>
    <w:rsid w:val="00206B2B"/>
    <w:rsid w:val="00215837"/>
    <w:rsid w:val="0021638E"/>
    <w:rsid w:val="002216B9"/>
    <w:rsid w:val="00230E79"/>
    <w:rsid w:val="0023259F"/>
    <w:rsid w:val="00233F94"/>
    <w:rsid w:val="00235183"/>
    <w:rsid w:val="00240246"/>
    <w:rsid w:val="00241E35"/>
    <w:rsid w:val="002428F9"/>
    <w:rsid w:val="00243F11"/>
    <w:rsid w:val="00245BB3"/>
    <w:rsid w:val="00253813"/>
    <w:rsid w:val="00254E9D"/>
    <w:rsid w:val="0025742F"/>
    <w:rsid w:val="00257AC6"/>
    <w:rsid w:val="002671B1"/>
    <w:rsid w:val="00271C80"/>
    <w:rsid w:val="00277543"/>
    <w:rsid w:val="00281EEF"/>
    <w:rsid w:val="0028710F"/>
    <w:rsid w:val="002A0E27"/>
    <w:rsid w:val="002A0E47"/>
    <w:rsid w:val="002A1765"/>
    <w:rsid w:val="002A1BB0"/>
    <w:rsid w:val="002A7E25"/>
    <w:rsid w:val="002B0422"/>
    <w:rsid w:val="002B5E8C"/>
    <w:rsid w:val="002C11D2"/>
    <w:rsid w:val="002D6C55"/>
    <w:rsid w:val="002E52C2"/>
    <w:rsid w:val="002E71C4"/>
    <w:rsid w:val="0030431D"/>
    <w:rsid w:val="00311EB0"/>
    <w:rsid w:val="00313AEE"/>
    <w:rsid w:val="0031621E"/>
    <w:rsid w:val="00327400"/>
    <w:rsid w:val="00327650"/>
    <w:rsid w:val="00334544"/>
    <w:rsid w:val="003370AB"/>
    <w:rsid w:val="00337E4D"/>
    <w:rsid w:val="003407E4"/>
    <w:rsid w:val="00340D0A"/>
    <w:rsid w:val="00342C41"/>
    <w:rsid w:val="00344576"/>
    <w:rsid w:val="00356973"/>
    <w:rsid w:val="00356AAC"/>
    <w:rsid w:val="00357579"/>
    <w:rsid w:val="00357968"/>
    <w:rsid w:val="0036275A"/>
    <w:rsid w:val="003676EA"/>
    <w:rsid w:val="00374592"/>
    <w:rsid w:val="00384827"/>
    <w:rsid w:val="003854B1"/>
    <w:rsid w:val="003871CA"/>
    <w:rsid w:val="003902DE"/>
    <w:rsid w:val="00390825"/>
    <w:rsid w:val="00394561"/>
    <w:rsid w:val="00395336"/>
    <w:rsid w:val="003B50D6"/>
    <w:rsid w:val="003C0536"/>
    <w:rsid w:val="003C5A9B"/>
    <w:rsid w:val="003D7E4C"/>
    <w:rsid w:val="003E737D"/>
    <w:rsid w:val="003F534F"/>
    <w:rsid w:val="003F661F"/>
    <w:rsid w:val="00403942"/>
    <w:rsid w:val="00422EA0"/>
    <w:rsid w:val="00424C9C"/>
    <w:rsid w:val="00431DB2"/>
    <w:rsid w:val="004320DD"/>
    <w:rsid w:val="00432CA7"/>
    <w:rsid w:val="0043356E"/>
    <w:rsid w:val="004358E6"/>
    <w:rsid w:val="00440B14"/>
    <w:rsid w:val="004418B3"/>
    <w:rsid w:val="00447D9F"/>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F5158"/>
    <w:rsid w:val="00506C84"/>
    <w:rsid w:val="005142A1"/>
    <w:rsid w:val="00517CAB"/>
    <w:rsid w:val="0053500A"/>
    <w:rsid w:val="00536EBF"/>
    <w:rsid w:val="0053713F"/>
    <w:rsid w:val="005433C2"/>
    <w:rsid w:val="005502F2"/>
    <w:rsid w:val="00562083"/>
    <w:rsid w:val="0057423C"/>
    <w:rsid w:val="0058350A"/>
    <w:rsid w:val="00586344"/>
    <w:rsid w:val="00594376"/>
    <w:rsid w:val="005A3B1C"/>
    <w:rsid w:val="005A56F6"/>
    <w:rsid w:val="005A6C12"/>
    <w:rsid w:val="005C1972"/>
    <w:rsid w:val="005D3469"/>
    <w:rsid w:val="005E1766"/>
    <w:rsid w:val="005E2A4A"/>
    <w:rsid w:val="005E48B7"/>
    <w:rsid w:val="005E4FF4"/>
    <w:rsid w:val="005F1B3D"/>
    <w:rsid w:val="005F2985"/>
    <w:rsid w:val="00602816"/>
    <w:rsid w:val="00604ACB"/>
    <w:rsid w:val="00606C5B"/>
    <w:rsid w:val="00612F03"/>
    <w:rsid w:val="006171AA"/>
    <w:rsid w:val="00617304"/>
    <w:rsid w:val="006178C3"/>
    <w:rsid w:val="00621BAF"/>
    <w:rsid w:val="0062410E"/>
    <w:rsid w:val="00626CE8"/>
    <w:rsid w:val="0064737F"/>
    <w:rsid w:val="00661621"/>
    <w:rsid w:val="00663037"/>
    <w:rsid w:val="006711F4"/>
    <w:rsid w:val="006744EA"/>
    <w:rsid w:val="0068140B"/>
    <w:rsid w:val="00684B33"/>
    <w:rsid w:val="00685825"/>
    <w:rsid w:val="006869CB"/>
    <w:rsid w:val="0069347C"/>
    <w:rsid w:val="006975AB"/>
    <w:rsid w:val="006B086F"/>
    <w:rsid w:val="006D2483"/>
    <w:rsid w:val="006E1737"/>
    <w:rsid w:val="006E1FF4"/>
    <w:rsid w:val="006E7630"/>
    <w:rsid w:val="006F0A7E"/>
    <w:rsid w:val="006F6FC3"/>
    <w:rsid w:val="006F7D77"/>
    <w:rsid w:val="00715180"/>
    <w:rsid w:val="00720A73"/>
    <w:rsid w:val="00720CAF"/>
    <w:rsid w:val="00724377"/>
    <w:rsid w:val="007276B4"/>
    <w:rsid w:val="00727EEC"/>
    <w:rsid w:val="00733E0F"/>
    <w:rsid w:val="00745D25"/>
    <w:rsid w:val="007506EE"/>
    <w:rsid w:val="0075447F"/>
    <w:rsid w:val="00754A2D"/>
    <w:rsid w:val="007643CE"/>
    <w:rsid w:val="00766157"/>
    <w:rsid w:val="00767F68"/>
    <w:rsid w:val="0077490A"/>
    <w:rsid w:val="007775EF"/>
    <w:rsid w:val="00787E3C"/>
    <w:rsid w:val="007940D5"/>
    <w:rsid w:val="00796D7F"/>
    <w:rsid w:val="007A0EC4"/>
    <w:rsid w:val="007A51E0"/>
    <w:rsid w:val="007A6544"/>
    <w:rsid w:val="007A7FD3"/>
    <w:rsid w:val="007B2410"/>
    <w:rsid w:val="007C01D1"/>
    <w:rsid w:val="007C5705"/>
    <w:rsid w:val="007D13B8"/>
    <w:rsid w:val="007D77CE"/>
    <w:rsid w:val="007F5CC1"/>
    <w:rsid w:val="00802CDC"/>
    <w:rsid w:val="00805E1D"/>
    <w:rsid w:val="00813FEC"/>
    <w:rsid w:val="00814E29"/>
    <w:rsid w:val="008230BD"/>
    <w:rsid w:val="00823C1E"/>
    <w:rsid w:val="00826135"/>
    <w:rsid w:val="00826D77"/>
    <w:rsid w:val="0083338D"/>
    <w:rsid w:val="00855283"/>
    <w:rsid w:val="008701AB"/>
    <w:rsid w:val="0087139A"/>
    <w:rsid w:val="00871D0F"/>
    <w:rsid w:val="008760A5"/>
    <w:rsid w:val="00877798"/>
    <w:rsid w:val="008802DB"/>
    <w:rsid w:val="00881967"/>
    <w:rsid w:val="00885F48"/>
    <w:rsid w:val="00890F76"/>
    <w:rsid w:val="0089274E"/>
    <w:rsid w:val="008979B8"/>
    <w:rsid w:val="008A08FA"/>
    <w:rsid w:val="008C0131"/>
    <w:rsid w:val="008C781C"/>
    <w:rsid w:val="008E70E5"/>
    <w:rsid w:val="008F50DB"/>
    <w:rsid w:val="008F5238"/>
    <w:rsid w:val="008F7723"/>
    <w:rsid w:val="00904BC8"/>
    <w:rsid w:val="00911248"/>
    <w:rsid w:val="00913A4E"/>
    <w:rsid w:val="00920305"/>
    <w:rsid w:val="00925F75"/>
    <w:rsid w:val="00961AAB"/>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A02039"/>
    <w:rsid w:val="00A04BD7"/>
    <w:rsid w:val="00A1238F"/>
    <w:rsid w:val="00A20EDD"/>
    <w:rsid w:val="00A212C7"/>
    <w:rsid w:val="00A23406"/>
    <w:rsid w:val="00A27EDD"/>
    <w:rsid w:val="00A35940"/>
    <w:rsid w:val="00A35D41"/>
    <w:rsid w:val="00A40953"/>
    <w:rsid w:val="00A459E3"/>
    <w:rsid w:val="00A571FE"/>
    <w:rsid w:val="00A636AF"/>
    <w:rsid w:val="00A672F5"/>
    <w:rsid w:val="00A773EC"/>
    <w:rsid w:val="00AA03DB"/>
    <w:rsid w:val="00AA164E"/>
    <w:rsid w:val="00AA3B2D"/>
    <w:rsid w:val="00AA7268"/>
    <w:rsid w:val="00AB0D6D"/>
    <w:rsid w:val="00AB68DD"/>
    <w:rsid w:val="00AC2B0B"/>
    <w:rsid w:val="00AC4F2A"/>
    <w:rsid w:val="00AC64A7"/>
    <w:rsid w:val="00AD35D8"/>
    <w:rsid w:val="00AD6BB8"/>
    <w:rsid w:val="00AF6D19"/>
    <w:rsid w:val="00B018B8"/>
    <w:rsid w:val="00B06BB4"/>
    <w:rsid w:val="00B13F2A"/>
    <w:rsid w:val="00B1436F"/>
    <w:rsid w:val="00B17FDC"/>
    <w:rsid w:val="00B22148"/>
    <w:rsid w:val="00B25C4D"/>
    <w:rsid w:val="00B32A99"/>
    <w:rsid w:val="00B364E6"/>
    <w:rsid w:val="00B47C30"/>
    <w:rsid w:val="00B47F03"/>
    <w:rsid w:val="00B62010"/>
    <w:rsid w:val="00B6417D"/>
    <w:rsid w:val="00B712AC"/>
    <w:rsid w:val="00B82084"/>
    <w:rsid w:val="00B95E1A"/>
    <w:rsid w:val="00BA18F5"/>
    <w:rsid w:val="00BA197C"/>
    <w:rsid w:val="00BB4808"/>
    <w:rsid w:val="00BC4000"/>
    <w:rsid w:val="00BD62E5"/>
    <w:rsid w:val="00BD715F"/>
    <w:rsid w:val="00BD7A11"/>
    <w:rsid w:val="00BE0134"/>
    <w:rsid w:val="00BE421E"/>
    <w:rsid w:val="00BE428E"/>
    <w:rsid w:val="00BE6A42"/>
    <w:rsid w:val="00BF009A"/>
    <w:rsid w:val="00BF2167"/>
    <w:rsid w:val="00BF4E21"/>
    <w:rsid w:val="00BF6AB5"/>
    <w:rsid w:val="00C03182"/>
    <w:rsid w:val="00C10C97"/>
    <w:rsid w:val="00C14022"/>
    <w:rsid w:val="00C41CE2"/>
    <w:rsid w:val="00C452E4"/>
    <w:rsid w:val="00C53D36"/>
    <w:rsid w:val="00C57E0D"/>
    <w:rsid w:val="00C636EE"/>
    <w:rsid w:val="00C7181C"/>
    <w:rsid w:val="00C73C73"/>
    <w:rsid w:val="00C748B2"/>
    <w:rsid w:val="00C75F27"/>
    <w:rsid w:val="00C76A21"/>
    <w:rsid w:val="00C85BE4"/>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6B69"/>
    <w:rsid w:val="00D171D8"/>
    <w:rsid w:val="00D21DEB"/>
    <w:rsid w:val="00D328DE"/>
    <w:rsid w:val="00D3514F"/>
    <w:rsid w:val="00D5052C"/>
    <w:rsid w:val="00D6266A"/>
    <w:rsid w:val="00D737E4"/>
    <w:rsid w:val="00D91F48"/>
    <w:rsid w:val="00D937CE"/>
    <w:rsid w:val="00D97443"/>
    <w:rsid w:val="00DB1764"/>
    <w:rsid w:val="00DB2440"/>
    <w:rsid w:val="00DB3C8A"/>
    <w:rsid w:val="00DB5F18"/>
    <w:rsid w:val="00DC5F89"/>
    <w:rsid w:val="00DD0C51"/>
    <w:rsid w:val="00DD7AE6"/>
    <w:rsid w:val="00DE5800"/>
    <w:rsid w:val="00DE69D1"/>
    <w:rsid w:val="00E06E17"/>
    <w:rsid w:val="00E11578"/>
    <w:rsid w:val="00E2376E"/>
    <w:rsid w:val="00E25C09"/>
    <w:rsid w:val="00E33AF2"/>
    <w:rsid w:val="00E35402"/>
    <w:rsid w:val="00E379EC"/>
    <w:rsid w:val="00E42D97"/>
    <w:rsid w:val="00E42DA2"/>
    <w:rsid w:val="00E47E0D"/>
    <w:rsid w:val="00E526C3"/>
    <w:rsid w:val="00E56A87"/>
    <w:rsid w:val="00E56E52"/>
    <w:rsid w:val="00E61D7E"/>
    <w:rsid w:val="00E82CD0"/>
    <w:rsid w:val="00E854B0"/>
    <w:rsid w:val="00E9403C"/>
    <w:rsid w:val="00E956E5"/>
    <w:rsid w:val="00E95DF8"/>
    <w:rsid w:val="00E97496"/>
    <w:rsid w:val="00EA21A5"/>
    <w:rsid w:val="00EB642C"/>
    <w:rsid w:val="00EB67B5"/>
    <w:rsid w:val="00EB6A82"/>
    <w:rsid w:val="00EB79DB"/>
    <w:rsid w:val="00EE1F86"/>
    <w:rsid w:val="00EE4190"/>
    <w:rsid w:val="00F01156"/>
    <w:rsid w:val="00F11389"/>
    <w:rsid w:val="00F11CAA"/>
    <w:rsid w:val="00F14865"/>
    <w:rsid w:val="00F3114F"/>
    <w:rsid w:val="00F3147A"/>
    <w:rsid w:val="00F31FF1"/>
    <w:rsid w:val="00F347B6"/>
    <w:rsid w:val="00F37571"/>
    <w:rsid w:val="00F44A15"/>
    <w:rsid w:val="00F46B3C"/>
    <w:rsid w:val="00F4779A"/>
    <w:rsid w:val="00F55E2F"/>
    <w:rsid w:val="00F64A2C"/>
    <w:rsid w:val="00F64D94"/>
    <w:rsid w:val="00F70562"/>
    <w:rsid w:val="00F744B5"/>
    <w:rsid w:val="00F74986"/>
    <w:rsid w:val="00F845F5"/>
    <w:rsid w:val="00F84788"/>
    <w:rsid w:val="00F865EA"/>
    <w:rsid w:val="00F90AF4"/>
    <w:rsid w:val="00F911F3"/>
    <w:rsid w:val="00F92C7B"/>
    <w:rsid w:val="00FA21BD"/>
    <w:rsid w:val="00FB3DE0"/>
    <w:rsid w:val="00FB46C7"/>
    <w:rsid w:val="00FC2B5F"/>
    <w:rsid w:val="00FD0009"/>
    <w:rsid w:val="00FD51B5"/>
    <w:rsid w:val="00FF402A"/>
    <w:rsid w:val="00FF690A"/>
    <w:rsid w:val="7D535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2"/>
    <w:uiPriority w:val="99"/>
    <w:rPr>
      <w:rFonts w:ascii="宋体" w:hAnsi="Courier New" w:cs="Courier New"/>
      <w:szCs w:val="21"/>
    </w:rPr>
  </w:style>
  <w:style w:type="paragraph" w:styleId="3">
    <w:name w:val="Balloon Text"/>
    <w:basedOn w:val="1"/>
    <w:link w:val="11"/>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默认段落字体 Para Char Char Char Char Char Char Char"/>
    <w:basedOn w:val="1"/>
    <w:uiPriority w:val="0"/>
  </w:style>
  <w:style w:type="character" w:customStyle="1" w:styleId="10">
    <w:name w:val="页眉 Char"/>
    <w:basedOn w:val="7"/>
    <w:link w:val="5"/>
    <w:qFormat/>
    <w:uiPriority w:val="0"/>
    <w:rPr>
      <w:kern w:val="2"/>
      <w:sz w:val="18"/>
      <w:szCs w:val="18"/>
    </w:rPr>
  </w:style>
  <w:style w:type="character" w:customStyle="1" w:styleId="11">
    <w:name w:val="批注框文本 Char"/>
    <w:basedOn w:val="7"/>
    <w:link w:val="3"/>
    <w:qFormat/>
    <w:uiPriority w:val="0"/>
    <w:rPr>
      <w:kern w:val="2"/>
      <w:sz w:val="18"/>
      <w:szCs w:val="18"/>
    </w:rPr>
  </w:style>
  <w:style w:type="character" w:customStyle="1" w:styleId="12">
    <w:name w:val="纯文本 Char"/>
    <w:basedOn w:val="7"/>
    <w:link w:val="2"/>
    <w:qFormat/>
    <w:uiPriority w:val="99"/>
    <w:rPr>
      <w:rFonts w:ascii="宋体" w:hAnsi="Courier New" w:cs="Courier New"/>
      <w:kern w:val="2"/>
      <w:sz w:val="21"/>
      <w:szCs w:val="21"/>
    </w:rPr>
  </w:style>
  <w:style w:type="paragraph" w:customStyle="1" w:styleId="13">
    <w:name w:val="法 正文"/>
    <w:qFormat/>
    <w:uiPriority w:val="0"/>
    <w:pPr>
      <w:widowControl w:val="0"/>
      <w:spacing w:line="560" w:lineRule="exact"/>
      <w:ind w:firstLine="200" w:firstLineChars="200"/>
      <w:jc w:val="both"/>
    </w:pPr>
    <w:rPr>
      <w:rFonts w:ascii="仿宋_GB2312" w:hAnsi="宋体" w:eastAsia="仿宋_GB2312" w:cs="宋体"/>
      <w:kern w:val="2"/>
      <w:sz w:val="32"/>
      <w:szCs w:val="30"/>
      <w:lang w:val="en-US" w:eastAsia="zh-CN" w:bidi="ar-SA"/>
    </w:rPr>
  </w:style>
  <w:style w:type="paragraph" w:customStyle="1" w:styleId="14">
    <w:name w:val="法 标题"/>
    <w:qFormat/>
    <w:uiPriority w:val="0"/>
    <w:pPr>
      <w:widowControl w:val="0"/>
      <w:spacing w:line="560" w:lineRule="exact"/>
      <w:jc w:val="center"/>
    </w:pPr>
    <w:rPr>
      <w:rFonts w:ascii="仿宋_GB2312" w:hAnsi="仿宋_GB2312" w:eastAsia="宋体" w:cs="仿宋_GB2312"/>
      <w:kern w:val="2"/>
      <w:sz w:val="44"/>
      <w:szCs w:val="32"/>
      <w:lang w:val="en-US" w:eastAsia="zh-CN" w:bidi="ar-SA"/>
    </w:rPr>
  </w:style>
  <w:style w:type="character" w:customStyle="1" w:styleId="15">
    <w:name w:val="黑体　三号"/>
    <w:basedOn w:val="7"/>
    <w:qFormat/>
    <w:uiPriority w:val="1"/>
    <w:rPr>
      <w:rFonts w:eastAsia="黑体"/>
      <w:sz w:val="32"/>
    </w:rPr>
  </w:style>
  <w:style w:type="paragraph" w:customStyle="1" w:styleId="16">
    <w:name w:val="法 法释"/>
    <w:qFormat/>
    <w:uiPriority w:val="0"/>
    <w:pPr>
      <w:widowControl w:val="0"/>
      <w:spacing w:line="560" w:lineRule="exact"/>
      <w:jc w:val="center"/>
    </w:pPr>
    <w:rPr>
      <w:rFonts w:ascii="楷体_GB2312" w:hAnsi="宋体" w:eastAsia="楷体_GB2312" w:cs="宋体"/>
      <w:kern w:val="2"/>
      <w:sz w:val="32"/>
      <w:szCs w:val="30"/>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C3FDDC-DADA-4323-8C36-551530DA276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5</Pages>
  <Words>1813</Words>
  <Characters>1846</Characters>
  <Lines>4</Lines>
  <Paragraphs>4</Paragraphs>
  <TotalTime>1</TotalTime>
  <ScaleCrop>false</ScaleCrop>
  <LinksUpToDate>false</LinksUpToDate>
  <CharactersWithSpaces>2204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2022-07-14T02:30:00Z</dcterms:created>
  <dc:creator>Lenovo User</dc:creator>
  <cp:lastModifiedBy>爱思思</cp:lastModifiedBy>
  <cp:lastPrinted>2014-04-03T09:04:00Z</cp:lastPrinted>
  <dcterms:modified xsi:type="dcterms:W3CDTF">2022-09-27T02:29:25Z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6A32914B6C20410F9B1E6485212AB73E</vt:lpwstr>
  </property>
</Properties>
</file>