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9D5" w:rsidRDefault="000B69D5">
      <w:pPr>
        <w:pStyle w:val="a3"/>
        <w:spacing w:line="560" w:lineRule="exact"/>
        <w:jc w:val="center"/>
        <w:rPr>
          <w:rFonts w:ascii="仿宋_GB2312" w:eastAsia="仿宋_GB2312" w:hAnsi="宋体" w:cs="宋体"/>
          <w:sz w:val="32"/>
          <w:szCs w:val="32"/>
        </w:rPr>
      </w:pPr>
      <w:bookmarkStart w:id="0" w:name="_GoBack"/>
      <w:bookmarkEnd w:id="0"/>
    </w:p>
    <w:p w:rsidR="000B69D5" w:rsidRDefault="000B69D5">
      <w:pPr>
        <w:pStyle w:val="a3"/>
        <w:spacing w:line="560" w:lineRule="exact"/>
        <w:jc w:val="center"/>
        <w:rPr>
          <w:rFonts w:ascii="仿宋_GB2312" w:eastAsia="仿宋_GB2312" w:hAnsi="宋体" w:cs="宋体"/>
          <w:sz w:val="32"/>
          <w:szCs w:val="32"/>
        </w:rPr>
      </w:pPr>
    </w:p>
    <w:p w:rsidR="000B69D5" w:rsidRDefault="00681503">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最高人民法院关于</w:t>
      </w:r>
    </w:p>
    <w:p w:rsidR="000B69D5" w:rsidRDefault="00681503">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北京金融法院案件管辖的规定</w:t>
      </w:r>
    </w:p>
    <w:p w:rsidR="000B69D5" w:rsidRDefault="000B69D5">
      <w:pPr>
        <w:pStyle w:val="a3"/>
        <w:spacing w:line="560" w:lineRule="exact"/>
        <w:jc w:val="center"/>
        <w:rPr>
          <w:rFonts w:ascii="仿宋_GB2312" w:eastAsia="仿宋_GB2312" w:hAnsi="宋体" w:cs="宋体"/>
          <w:sz w:val="32"/>
          <w:szCs w:val="32"/>
        </w:rPr>
      </w:pPr>
    </w:p>
    <w:p w:rsidR="000B69D5" w:rsidRDefault="00681503">
      <w:pPr>
        <w:pStyle w:val="a3"/>
        <w:spacing w:line="560" w:lineRule="exact"/>
        <w:jc w:val="center"/>
        <w:rPr>
          <w:rFonts w:ascii="楷体_GB2312" w:eastAsia="楷体_GB2312" w:hAnsi="宋体" w:cs="宋体"/>
          <w:sz w:val="32"/>
          <w:szCs w:val="32"/>
        </w:rPr>
      </w:pPr>
      <w:r>
        <w:rPr>
          <w:rFonts w:ascii="楷体_GB2312" w:eastAsia="楷体_GB2312" w:hAnsi="宋体" w:cs="宋体" w:hint="eastAsia"/>
          <w:sz w:val="32"/>
          <w:szCs w:val="32"/>
        </w:rPr>
        <w:t>法释〔</w:t>
      </w:r>
      <w:r>
        <w:rPr>
          <w:rFonts w:ascii="楷体_GB2312" w:eastAsia="楷体_GB2312" w:hAnsi="宋体" w:cs="宋体" w:hint="eastAsia"/>
          <w:sz w:val="32"/>
          <w:szCs w:val="32"/>
        </w:rPr>
        <w:t>2021</w:t>
      </w:r>
      <w:r>
        <w:rPr>
          <w:rFonts w:ascii="楷体_GB2312" w:eastAsia="楷体_GB2312" w:hAnsi="宋体" w:cs="宋体" w:hint="eastAsia"/>
          <w:sz w:val="32"/>
          <w:szCs w:val="32"/>
        </w:rPr>
        <w:t>〕</w:t>
      </w:r>
      <w:r>
        <w:rPr>
          <w:rFonts w:ascii="楷体_GB2312" w:eastAsia="楷体_GB2312" w:hAnsi="宋体" w:cs="宋体" w:hint="eastAsia"/>
          <w:sz w:val="32"/>
          <w:szCs w:val="32"/>
        </w:rPr>
        <w:t>7</w:t>
      </w:r>
      <w:r>
        <w:rPr>
          <w:rFonts w:ascii="楷体_GB2312" w:eastAsia="楷体_GB2312" w:hAnsi="宋体" w:cs="宋体" w:hint="eastAsia"/>
          <w:sz w:val="32"/>
          <w:szCs w:val="32"/>
        </w:rPr>
        <w:t>号</w:t>
      </w:r>
    </w:p>
    <w:p w:rsidR="000B69D5" w:rsidRDefault="000B69D5">
      <w:pPr>
        <w:pStyle w:val="a3"/>
        <w:spacing w:line="560" w:lineRule="exact"/>
        <w:jc w:val="center"/>
        <w:rPr>
          <w:rFonts w:ascii="仿宋_GB2312" w:eastAsia="仿宋_GB2312" w:hAnsi="宋体" w:cs="宋体"/>
          <w:sz w:val="32"/>
          <w:szCs w:val="32"/>
        </w:rPr>
      </w:pPr>
    </w:p>
    <w:p w:rsidR="000B69D5" w:rsidRDefault="00681503">
      <w:pPr>
        <w:pStyle w:val="a3"/>
        <w:spacing w:line="560" w:lineRule="exact"/>
        <w:ind w:leftChars="300" w:left="630" w:rightChars="300" w:right="630"/>
        <w:rPr>
          <w:rFonts w:ascii="楷体_GB2312" w:eastAsia="楷体_GB2312" w:hAnsi="宋体" w:cs="宋体"/>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3</w:t>
      </w:r>
      <w:r>
        <w:rPr>
          <w:rFonts w:ascii="楷体_GB2312" w:eastAsia="楷体_GB2312" w:hAnsi="宋体" w:cs="宋体" w:hint="eastAsia"/>
          <w:sz w:val="32"/>
          <w:szCs w:val="32"/>
        </w:rPr>
        <w:t>月</w:t>
      </w:r>
      <w:r>
        <w:rPr>
          <w:rFonts w:ascii="楷体_GB2312" w:eastAsia="楷体_GB2312" w:hAnsi="宋体" w:cs="宋体" w:hint="eastAsia"/>
          <w:sz w:val="32"/>
          <w:szCs w:val="32"/>
        </w:rPr>
        <w:t>1</w:t>
      </w:r>
      <w:r>
        <w:rPr>
          <w:rFonts w:ascii="楷体_GB2312" w:eastAsia="楷体_GB2312" w:hAnsi="宋体" w:cs="宋体" w:hint="eastAsia"/>
          <w:sz w:val="32"/>
          <w:szCs w:val="32"/>
        </w:rPr>
        <w:t>日最高人民法院审判委员会第</w:t>
      </w:r>
      <w:r>
        <w:rPr>
          <w:rFonts w:ascii="楷体_GB2312" w:eastAsia="楷体_GB2312" w:hAnsi="宋体" w:cs="宋体" w:hint="eastAsia"/>
          <w:sz w:val="32"/>
          <w:szCs w:val="32"/>
        </w:rPr>
        <w:t>1833</w:t>
      </w:r>
      <w:r>
        <w:rPr>
          <w:rFonts w:ascii="楷体_GB2312" w:eastAsia="楷体_GB2312" w:hAnsi="宋体" w:cs="宋体" w:hint="eastAsia"/>
          <w:sz w:val="32"/>
          <w:szCs w:val="32"/>
        </w:rPr>
        <w:t>次会议通过，自</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3</w:t>
      </w:r>
      <w:r>
        <w:rPr>
          <w:rFonts w:ascii="楷体_GB2312" w:eastAsia="楷体_GB2312" w:hAnsi="宋体" w:cs="宋体" w:hint="eastAsia"/>
          <w:sz w:val="32"/>
          <w:szCs w:val="32"/>
        </w:rPr>
        <w:t>月</w:t>
      </w:r>
      <w:r>
        <w:rPr>
          <w:rFonts w:ascii="楷体_GB2312" w:eastAsia="楷体_GB2312" w:hAnsi="宋体" w:cs="宋体" w:hint="eastAsia"/>
          <w:sz w:val="32"/>
          <w:szCs w:val="32"/>
        </w:rPr>
        <w:t>16</w:t>
      </w:r>
      <w:r>
        <w:rPr>
          <w:rFonts w:ascii="楷体_GB2312" w:eastAsia="楷体_GB2312" w:hAnsi="宋体" w:cs="宋体" w:hint="eastAsia"/>
          <w:sz w:val="32"/>
          <w:szCs w:val="32"/>
        </w:rPr>
        <w:t>日起施行）</w:t>
      </w:r>
    </w:p>
    <w:p w:rsidR="000B69D5" w:rsidRDefault="000B69D5">
      <w:pPr>
        <w:pStyle w:val="a3"/>
        <w:spacing w:line="560" w:lineRule="exact"/>
        <w:rPr>
          <w:rFonts w:ascii="仿宋_GB2312" w:eastAsia="仿宋_GB2312" w:hAnsi="宋体" w:cs="宋体"/>
          <w:sz w:val="32"/>
          <w:szCs w:val="32"/>
        </w:rPr>
      </w:pPr>
    </w:p>
    <w:p w:rsidR="000B69D5" w:rsidRDefault="00681503">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服务和保障国家金融管理中心建设，进一步明确北京金融法院案件管辖的具体范围，根据《中华人民共和国民事诉讼法》《中华人民共和国行政诉讼法》《全国人民代表大会常务委员会关于设立北京金融法院的决定》等规定，制定本规定。</w:t>
      </w:r>
    </w:p>
    <w:p w:rsidR="000B69D5" w:rsidRDefault="00681503">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第一条　</w:t>
      </w:r>
      <w:r>
        <w:rPr>
          <w:rFonts w:ascii="仿宋_GB2312" w:eastAsia="仿宋_GB2312" w:hAnsi="宋体" w:cs="宋体" w:hint="eastAsia"/>
          <w:sz w:val="32"/>
          <w:szCs w:val="32"/>
        </w:rPr>
        <w:t>北京金融法院管辖北京市辖区内应由中级人民法院受理的下列第一审</w:t>
      </w:r>
      <w:r>
        <w:rPr>
          <w:rFonts w:ascii="仿宋_GB2312" w:eastAsia="仿宋_GB2312" w:hAnsi="宋体" w:cs="宋体" w:hint="eastAsia"/>
          <w:sz w:val="32"/>
          <w:szCs w:val="32"/>
        </w:rPr>
        <w:t>金融民商事案件：</w:t>
      </w:r>
    </w:p>
    <w:p w:rsidR="000B69D5" w:rsidRDefault="00681503">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（一）证券、期货交易、营业信托、保险、票据、信用证、独立保函、保理、金融借款合同、银行卡、融资租赁合同、委托理财合同、储蓄存款合同、典当、银行结算合同等金融民商事纠纷；</w:t>
      </w:r>
    </w:p>
    <w:p w:rsidR="000B69D5" w:rsidRDefault="00681503">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（二）资产管理业务、资产支持证券业务、私募基金业务、外汇业务、金融产品销售和适当性管理、征信业务、支付业务及</w:t>
      </w:r>
      <w:r>
        <w:rPr>
          <w:rFonts w:ascii="仿宋_GB2312" w:eastAsia="仿宋_GB2312" w:hAnsi="宋体" w:cs="宋体" w:hint="eastAsia"/>
          <w:sz w:val="32"/>
          <w:szCs w:val="32"/>
        </w:rPr>
        <w:lastRenderedPageBreak/>
        <w:t>经有权机关批准的其他金融业务引发的金融民商事纠纷；</w:t>
      </w:r>
    </w:p>
    <w:p w:rsidR="000B69D5" w:rsidRDefault="00681503">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（三）涉金融机构的与公司有关的纠纷</w:t>
      </w:r>
      <w:r>
        <w:rPr>
          <w:rFonts w:ascii="仿宋_GB2312" w:eastAsia="仿宋_GB2312" w:hAnsi="宋体" w:cs="宋体" w:hint="eastAsia"/>
          <w:sz w:val="32"/>
          <w:szCs w:val="32"/>
        </w:rPr>
        <w:t>;</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仿宋_GB2312" w:eastAsia="仿宋_GB2312" w:hAnsi="宋体" w:cs="宋体" w:hint="eastAsia"/>
          <w:sz w:val="32"/>
          <w:szCs w:val="32"/>
        </w:rPr>
        <w:t>（四）以金融机构为债务人的破产纠纷；</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仿宋_GB2312" w:eastAsia="仿宋_GB2312" w:hAnsi="宋体" w:cs="宋体" w:hint="eastAsia"/>
          <w:sz w:val="32"/>
          <w:szCs w:val="32"/>
        </w:rPr>
        <w:t>（五）金融民商事纠纷的仲裁司法审查案件；</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仿宋_GB2312" w:eastAsia="仿宋_GB2312" w:hAnsi="宋体" w:cs="宋体" w:hint="eastAsia"/>
          <w:sz w:val="32"/>
          <w:szCs w:val="32"/>
        </w:rPr>
        <w:t>（六）申请认可和执行香港特别行政区、澳门特别行政区、台湾地区法院金融民商事纠纷的判决、裁定案件，以及申请承认和执行外国法院金融民商事纠纷的判决、裁定案件。</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第二条　</w:t>
      </w:r>
      <w:r>
        <w:rPr>
          <w:rFonts w:ascii="仿宋_GB2312" w:eastAsia="仿宋_GB2312" w:hAnsi="宋体" w:cs="宋体" w:hint="eastAsia"/>
          <w:sz w:val="32"/>
          <w:szCs w:val="32"/>
        </w:rPr>
        <w:t>下列金融纠纷案件，由北京金融法院管辖：</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仿宋_GB2312" w:eastAsia="仿宋_GB2312" w:hAnsi="宋体" w:cs="宋体" w:hint="eastAsia"/>
          <w:sz w:val="32"/>
          <w:szCs w:val="32"/>
        </w:rPr>
        <w:t>（一）境内投资者以发生在中华人民共和国境外的证券发行、交易活动或者期货交易活动损害其合法权益为由向北京金融法院提起的诉讼；</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仿宋_GB2312" w:eastAsia="仿宋_GB2312" w:hAnsi="宋体" w:cs="宋体" w:hint="eastAsia"/>
          <w:sz w:val="32"/>
          <w:szCs w:val="32"/>
        </w:rPr>
        <w:t>（二）境内个人或者机构以中华人民共和国境外金融机构销售的金融产品或者提供的金融服务损害其合法权益为由向北京金融法院提起的诉讼。</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第三条　</w:t>
      </w:r>
      <w:r>
        <w:rPr>
          <w:rFonts w:ascii="仿宋_GB2312" w:eastAsia="仿宋_GB2312" w:hAnsi="宋体" w:cs="宋体" w:hint="eastAsia"/>
          <w:sz w:val="32"/>
          <w:szCs w:val="32"/>
        </w:rPr>
        <w:t>在全国中小企业股份转让系统向不特定合格投资者公开</w:t>
      </w:r>
      <w:r>
        <w:rPr>
          <w:rFonts w:ascii="仿宋_GB2312" w:eastAsia="仿宋_GB2312" w:hAnsi="宋体" w:cs="宋体" w:hint="eastAsia"/>
          <w:sz w:val="32"/>
          <w:szCs w:val="32"/>
        </w:rPr>
        <w:t>发行股票并在精选层挂牌的公司的证券发行纠纷、证券承销合同纠纷、证券交易合同纠纷、证券欺诈责任纠纷以及证券推荐保荐和持续督导合同、证券挂牌合同引起的纠纷等第一审民商事案件，由北京金融法院管辖。</w:t>
      </w:r>
    </w:p>
    <w:p w:rsidR="000B69D5" w:rsidRDefault="00681503">
      <w:pPr>
        <w:pStyle w:val="a3"/>
        <w:spacing w:line="560" w:lineRule="exact"/>
        <w:ind w:firstLineChars="200" w:firstLine="640"/>
        <w:jc w:val="left"/>
        <w:rPr>
          <w:rFonts w:ascii="仿宋_GB2312" w:eastAsia="仿宋_GB2312" w:hAnsi="宋体" w:cs="宋体"/>
          <w:sz w:val="30"/>
          <w:szCs w:val="30"/>
        </w:rPr>
      </w:pPr>
      <w:r>
        <w:rPr>
          <w:rFonts w:ascii="黑体" w:eastAsia="黑体" w:hAnsi="黑体" w:cs="宋体" w:hint="eastAsia"/>
          <w:sz w:val="32"/>
          <w:szCs w:val="32"/>
        </w:rPr>
        <w:t xml:space="preserve">第四条　</w:t>
      </w:r>
      <w:r>
        <w:rPr>
          <w:rFonts w:ascii="仿宋_GB2312" w:eastAsia="仿宋_GB2312" w:hAnsi="宋体" w:cs="宋体" w:hint="eastAsia"/>
          <w:sz w:val="32"/>
          <w:szCs w:val="32"/>
        </w:rPr>
        <w:t>以全国中小企业股份转让系统有限责任公司为被告或者第三人的与证券交易场所监管职能相关的第一审金融民商事和涉金融行政案件，由北京金融法院管辖。</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lastRenderedPageBreak/>
        <w:t xml:space="preserve">第五条　</w:t>
      </w:r>
      <w:r>
        <w:rPr>
          <w:rFonts w:ascii="仿宋_GB2312" w:eastAsia="仿宋_GB2312" w:hAnsi="宋体" w:cs="宋体" w:hint="eastAsia"/>
          <w:sz w:val="32"/>
          <w:szCs w:val="32"/>
        </w:rPr>
        <w:t>以住所地在北京市并依法设立的金融基础设施机构为被告或者第三人的与其履行职责相关的第一审金融民商事案件，由北京金融法院管辖。</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第六条　</w:t>
      </w:r>
      <w:r>
        <w:rPr>
          <w:rFonts w:ascii="仿宋_GB2312" w:eastAsia="仿宋_GB2312" w:hAnsi="宋体" w:cs="宋体" w:hint="eastAsia"/>
          <w:sz w:val="32"/>
          <w:szCs w:val="32"/>
        </w:rPr>
        <w:t>北京市辖区内应由中级人民法院受理</w:t>
      </w:r>
      <w:r>
        <w:rPr>
          <w:rFonts w:ascii="仿宋_GB2312" w:eastAsia="仿宋_GB2312" w:hAnsi="宋体" w:cs="宋体" w:hint="eastAsia"/>
          <w:sz w:val="32"/>
          <w:szCs w:val="32"/>
        </w:rPr>
        <w:t>的对中国人民银行、中国银行保险监督管理委员会、中国证券监督管理委员会、国家外汇管理局等国家金融管理部门以及其他国务院组成部门和法律、法规、规章授权的组织因履行金融监管职责作出的行政行为不服提起诉讼的第一审涉金融行政案件，由北京金融法院管辖。</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第七条　</w:t>
      </w:r>
      <w:r>
        <w:rPr>
          <w:rFonts w:ascii="仿宋_GB2312" w:eastAsia="仿宋_GB2312" w:hAnsi="宋体" w:cs="宋体" w:hint="eastAsia"/>
          <w:sz w:val="32"/>
          <w:szCs w:val="32"/>
        </w:rPr>
        <w:t>当事人对北京市基层人民法院作出的涉及本规定第一条第一至三项的第一审金融民商事案件和涉金融行政案件判决、裁定提起的上诉案件和申请再审案件，由北京金融法院审理。</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第八条　</w:t>
      </w:r>
      <w:r>
        <w:rPr>
          <w:rFonts w:ascii="仿宋_GB2312" w:eastAsia="仿宋_GB2312" w:hAnsi="宋体" w:cs="宋体" w:hint="eastAsia"/>
          <w:sz w:val="32"/>
          <w:szCs w:val="32"/>
        </w:rPr>
        <w:t>北京市辖区内应由中级人民法院受理的金融民商事案件、涉金融行政案件的再审案件，由北京金融法院审理。</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第九条　</w:t>
      </w:r>
      <w:r>
        <w:rPr>
          <w:rFonts w:ascii="仿宋_GB2312" w:eastAsia="仿宋_GB2312" w:hAnsi="宋体" w:cs="宋体" w:hint="eastAsia"/>
          <w:sz w:val="32"/>
          <w:szCs w:val="32"/>
        </w:rPr>
        <w:t>北京金融法院作出的第一审民商事案件和涉金融行政案件生效裁判，以及北京市辖区内应由中级人民法院执行的涉金融民商事纠纷的仲裁裁决，由北京金融法院执行。</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仿宋_GB2312" w:eastAsia="仿宋_GB2312" w:hAnsi="宋体" w:cs="宋体" w:hint="eastAsia"/>
          <w:sz w:val="32"/>
          <w:szCs w:val="32"/>
        </w:rPr>
        <w:t>北京金融法院执行过程中发生的执行异议案件、执行异议之诉案件，以及北京市基层人民法院涉金融案件执行过程中发生的执行复议案件、执行异议之诉上诉案件，由北京金融法院审理。</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第十条　</w:t>
      </w:r>
      <w:r>
        <w:rPr>
          <w:rFonts w:ascii="仿宋_GB2312" w:eastAsia="仿宋_GB2312" w:hAnsi="宋体" w:cs="宋体" w:hint="eastAsia"/>
          <w:sz w:val="32"/>
          <w:szCs w:val="32"/>
        </w:rPr>
        <w:t>中国人民银行、中国银行保险监督管理委员会、中</w:t>
      </w:r>
      <w:r>
        <w:rPr>
          <w:rFonts w:ascii="仿宋_GB2312" w:eastAsia="仿宋_GB2312" w:hAnsi="宋体" w:cs="宋体" w:hint="eastAsia"/>
          <w:sz w:val="32"/>
          <w:szCs w:val="32"/>
        </w:rPr>
        <w:lastRenderedPageBreak/>
        <w:t>国证券监督管理委员会、国家外汇管理局等国家金融管理部门，以及其他国务院组成部门因履行金融监管职责作为申请人的非诉行政执行案件，由北京金融</w:t>
      </w:r>
      <w:r>
        <w:rPr>
          <w:rFonts w:ascii="仿宋_GB2312" w:eastAsia="仿宋_GB2312" w:hAnsi="宋体" w:cs="宋体" w:hint="eastAsia"/>
          <w:sz w:val="32"/>
          <w:szCs w:val="32"/>
        </w:rPr>
        <w:t>法院审查和执行。</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第十一条　</w:t>
      </w:r>
      <w:r>
        <w:rPr>
          <w:rFonts w:ascii="仿宋_GB2312" w:eastAsia="仿宋_GB2312" w:hAnsi="宋体" w:cs="宋体" w:hint="eastAsia"/>
          <w:sz w:val="32"/>
          <w:szCs w:val="32"/>
        </w:rPr>
        <w:t>当事人对北京金融法院作出的第一审判决、裁定提起的上诉案件，由北京市高级人民法院审理。</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第十二条　</w:t>
      </w:r>
      <w:r>
        <w:rPr>
          <w:rFonts w:ascii="仿宋_GB2312" w:eastAsia="仿宋_GB2312" w:hAnsi="宋体" w:cs="宋体" w:hint="eastAsia"/>
          <w:sz w:val="32"/>
          <w:szCs w:val="32"/>
        </w:rPr>
        <w:t>北京市各中级人民法院在北京金融法院成立前已经受理但尚未审结的金融民商事案件和涉金融行政案件，由该中级人民法院继续审理。</w:t>
      </w:r>
    </w:p>
    <w:p w:rsidR="000B69D5" w:rsidRDefault="00681503">
      <w:pPr>
        <w:pStyle w:val="a3"/>
        <w:spacing w:line="560" w:lineRule="exact"/>
        <w:ind w:firstLineChars="200" w:firstLine="640"/>
        <w:jc w:val="left"/>
        <w:rPr>
          <w:rFonts w:ascii="仿宋_GB2312" w:eastAsia="仿宋_GB2312" w:hAnsi="宋体" w:cs="宋体"/>
          <w:sz w:val="32"/>
          <w:szCs w:val="32"/>
        </w:rPr>
      </w:pPr>
      <w:r>
        <w:rPr>
          <w:rFonts w:ascii="黑体" w:eastAsia="黑体" w:hAnsi="黑体" w:cs="宋体" w:hint="eastAsia"/>
          <w:sz w:val="32"/>
          <w:szCs w:val="32"/>
        </w:rPr>
        <w:t xml:space="preserve">第十三条　</w:t>
      </w:r>
      <w:r>
        <w:rPr>
          <w:rFonts w:ascii="仿宋_GB2312" w:eastAsia="仿宋_GB2312" w:hAnsi="宋体" w:cs="宋体" w:hint="eastAsia"/>
          <w:sz w:val="32"/>
          <w:szCs w:val="32"/>
        </w:rPr>
        <w:t>本规定自</w:t>
      </w:r>
      <w:r>
        <w:rPr>
          <w:rFonts w:ascii="仿宋_GB2312" w:eastAsia="仿宋_GB2312" w:hAnsi="宋体" w:cs="宋体" w:hint="eastAsia"/>
          <w:sz w:val="32"/>
          <w:szCs w:val="32"/>
        </w:rPr>
        <w:t>2021</w:t>
      </w:r>
      <w:r>
        <w:rPr>
          <w:rFonts w:ascii="仿宋_GB2312" w:eastAsia="仿宋_GB2312" w:hAnsi="宋体" w:cs="宋体" w:hint="eastAsia"/>
          <w:sz w:val="32"/>
          <w:szCs w:val="32"/>
        </w:rPr>
        <w:t>年</w:t>
      </w:r>
      <w:r>
        <w:rPr>
          <w:rFonts w:ascii="仿宋_GB2312" w:eastAsia="仿宋_GB2312" w:hAnsi="宋体" w:cs="宋体" w:hint="eastAsia"/>
          <w:sz w:val="32"/>
          <w:szCs w:val="32"/>
        </w:rPr>
        <w:t>3</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日起施行。</w:t>
      </w:r>
    </w:p>
    <w:p w:rsidR="000B69D5" w:rsidRDefault="000B69D5">
      <w:pPr>
        <w:pStyle w:val="a3"/>
        <w:spacing w:line="560" w:lineRule="exact"/>
        <w:ind w:firstLineChars="200" w:firstLine="640"/>
        <w:jc w:val="left"/>
        <w:rPr>
          <w:rFonts w:ascii="仿宋_GB2312" w:eastAsia="仿宋_GB2312" w:hAnsi="宋体" w:cs="宋体"/>
          <w:sz w:val="32"/>
          <w:szCs w:val="32"/>
        </w:rPr>
      </w:pPr>
    </w:p>
    <w:p w:rsidR="000B69D5" w:rsidRDefault="000B69D5">
      <w:pPr>
        <w:pStyle w:val="a3"/>
        <w:spacing w:line="560" w:lineRule="exact"/>
        <w:ind w:firstLineChars="200" w:firstLine="640"/>
        <w:jc w:val="left"/>
        <w:rPr>
          <w:rFonts w:ascii="仿宋_GB2312" w:eastAsia="仿宋_GB2312" w:hAnsi="宋体" w:cs="宋体"/>
          <w:sz w:val="32"/>
          <w:szCs w:val="32"/>
        </w:rPr>
      </w:pPr>
    </w:p>
    <w:p w:rsidR="000B69D5" w:rsidRDefault="000B69D5">
      <w:pPr>
        <w:pStyle w:val="a3"/>
        <w:spacing w:line="560" w:lineRule="exact"/>
        <w:ind w:firstLineChars="200" w:firstLine="640"/>
        <w:jc w:val="left"/>
        <w:rPr>
          <w:rFonts w:ascii="仿宋_GB2312" w:eastAsia="仿宋_GB2312" w:hAnsi="宋体" w:cs="宋体"/>
          <w:sz w:val="32"/>
          <w:szCs w:val="32"/>
        </w:rPr>
      </w:pPr>
    </w:p>
    <w:p w:rsidR="000B69D5" w:rsidRDefault="000B69D5">
      <w:pPr>
        <w:pStyle w:val="a3"/>
        <w:spacing w:line="560" w:lineRule="exact"/>
        <w:ind w:firstLineChars="200" w:firstLine="640"/>
        <w:jc w:val="left"/>
        <w:rPr>
          <w:rFonts w:ascii="仿宋_GB2312" w:eastAsia="仿宋_GB2312" w:hAnsi="宋体" w:cs="宋体"/>
          <w:sz w:val="32"/>
          <w:szCs w:val="32"/>
        </w:rPr>
      </w:pPr>
    </w:p>
    <w:p w:rsidR="000B69D5" w:rsidRDefault="000B69D5">
      <w:pPr>
        <w:pStyle w:val="a3"/>
        <w:spacing w:line="560" w:lineRule="exact"/>
        <w:ind w:firstLineChars="200" w:firstLine="640"/>
        <w:jc w:val="left"/>
        <w:rPr>
          <w:rFonts w:ascii="仿宋_GB2312" w:eastAsia="仿宋_GB2312" w:hAnsi="宋体" w:cs="宋体"/>
          <w:sz w:val="32"/>
          <w:szCs w:val="32"/>
        </w:rPr>
      </w:pPr>
    </w:p>
    <w:sectPr w:rsidR="000B69D5">
      <w:footerReference w:type="even" r:id="rId8"/>
      <w:footerReference w:type="default" r:id="rId9"/>
      <w:pgSz w:w="11906" w:h="16838"/>
      <w:pgMar w:top="2098" w:right="1474" w:bottom="1984" w:left="1588"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503" w:rsidRDefault="00681503">
      <w:r>
        <w:separator/>
      </w:r>
    </w:p>
  </w:endnote>
  <w:endnote w:type="continuationSeparator" w:id="0">
    <w:p w:rsidR="00681503" w:rsidRDefault="0068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D5" w:rsidRDefault="00681503">
    <w:pPr>
      <w:pStyle w:val="a5"/>
      <w:ind w:right="360" w:firstLine="360"/>
    </w:pPr>
    <w:r>
      <w:pict>
        <v:shapetype id="_x0000_t202" coordsize="21600,21600" o:spt="202" path="m,l,21600r21600,l21600,xe">
          <v:stroke joinstyle="miter"/>
          <v:path gradientshapeok="t" o:connecttype="rect"/>
        </v:shapetype>
        <v:shape id="_x0000_s2050" type="#_x0000_t202" style="position:absolute;left:0;text-align:left;margin-left:0;margin-top:-5.4pt;width:2in;height:2in;z-index:251659264;mso-wrap-style:none;mso-position-horizontal-relative:margin;mso-width-relative:page;mso-height-relative:page" filled="f" stroked="f">
          <v:textbox style="mso-fit-shape-to-text:t" inset="0,0,0,0">
            <w:txbxContent>
              <w:p w:rsidR="000B69D5" w:rsidRDefault="00681503">
                <w:pPr>
                  <w:pStyle w:val="a5"/>
                  <w:rPr>
                    <w:rStyle w:val="a7"/>
                  </w:rPr>
                </w:pPr>
                <w:r>
                  <w:rPr>
                    <w:rStyle w:val="a7"/>
                    <w:rFonts w:ascii="宋体" w:hAnsi="宋体" w:cs="宋体" w:hint="eastAsia"/>
                    <w:sz w:val="28"/>
                    <w:szCs w:val="28"/>
                  </w:rPr>
                  <w:fldChar w:fldCharType="begin"/>
                </w:r>
                <w:r>
                  <w:rPr>
                    <w:rStyle w:val="a7"/>
                    <w:rFonts w:ascii="宋体" w:hAnsi="宋体" w:cs="宋体" w:hint="eastAsia"/>
                    <w:sz w:val="28"/>
                    <w:szCs w:val="28"/>
                  </w:rPr>
                  <w:instrText xml:space="preserve">PAGE  </w:instrText>
                </w:r>
                <w:r w:rsidR="00CB6A54">
                  <w:rPr>
                    <w:rStyle w:val="a7"/>
                    <w:rFonts w:ascii="宋体" w:hAnsi="宋体" w:cs="宋体"/>
                    <w:sz w:val="28"/>
                    <w:szCs w:val="28"/>
                  </w:rPr>
                  <w:fldChar w:fldCharType="separate"/>
                </w:r>
                <w:r w:rsidR="00CB6A54">
                  <w:rPr>
                    <w:rStyle w:val="a7"/>
                    <w:rFonts w:ascii="宋体" w:hAnsi="宋体" w:cs="宋体"/>
                    <w:noProof/>
                    <w:sz w:val="28"/>
                    <w:szCs w:val="28"/>
                  </w:rPr>
                  <w:t>- 2 -</w:t>
                </w:r>
                <w:r>
                  <w:rPr>
                    <w:rStyle w:val="a7"/>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D5" w:rsidRDefault="00681503">
    <w:pPr>
      <w:pStyle w:val="a5"/>
      <w:ind w:right="360"/>
    </w:pPr>
    <w:r>
      <w:pict>
        <v:shapetype id="_x0000_t202" coordsize="21600,21600" o:spt="202" path="m,l,21600r21600,l21600,xe">
          <v:stroke joinstyle="miter"/>
          <v:path gradientshapeok="t" o:connecttype="rect"/>
        </v:shapetype>
        <v:shape id="_x0000_s2049" type="#_x0000_t202" style="position:absolute;margin-left:92.8pt;margin-top:-5.4pt;width:2in;height:2in;z-index:251658240;mso-wrap-style:none;mso-position-horizontal:outside;mso-position-horizontal-relative:margin;mso-width-relative:page;mso-height-relative:page" filled="f" stroked="f">
          <v:textbox style="mso-fit-shape-to-text:t" inset="0,0,0,0">
            <w:txbxContent>
              <w:p w:rsidR="000B69D5" w:rsidRDefault="00681503">
                <w:pPr>
                  <w:pStyle w:val="a5"/>
                  <w:rPr>
                    <w:rStyle w:val="a7"/>
                    <w:rFonts w:ascii="Times" w:hAnsi="Times" w:hint="eastAsia"/>
                    <w:sz w:val="28"/>
                  </w:rPr>
                </w:pPr>
                <w:r>
                  <w:rPr>
                    <w:rStyle w:val="a7"/>
                    <w:rFonts w:ascii="宋体" w:hAnsi="宋体" w:cs="宋体" w:hint="eastAsia"/>
                    <w:sz w:val="28"/>
                  </w:rPr>
                  <w:fldChar w:fldCharType="begin"/>
                </w:r>
                <w:r>
                  <w:rPr>
                    <w:rStyle w:val="a7"/>
                    <w:rFonts w:ascii="宋体" w:hAnsi="宋体" w:cs="宋体" w:hint="eastAsia"/>
                    <w:sz w:val="28"/>
                  </w:rPr>
                  <w:instrText xml:space="preserve">PAGE  </w:instrText>
                </w:r>
                <w:r>
                  <w:rPr>
                    <w:rStyle w:val="a7"/>
                    <w:rFonts w:ascii="宋体" w:hAnsi="宋体" w:cs="宋体" w:hint="eastAsia"/>
                    <w:sz w:val="28"/>
                  </w:rPr>
                  <w:fldChar w:fldCharType="separate"/>
                </w:r>
                <w:r w:rsidR="00CB6A54">
                  <w:rPr>
                    <w:rStyle w:val="a7"/>
                    <w:rFonts w:ascii="宋体" w:hAnsi="宋体" w:cs="宋体"/>
                    <w:noProof/>
                    <w:sz w:val="28"/>
                  </w:rPr>
                  <w:t>- 1 -</w:t>
                </w:r>
                <w:r>
                  <w:rPr>
                    <w:rStyle w:val="a7"/>
                    <w:rFonts w:ascii="宋体" w:hAnsi="宋体" w:cs="宋体"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503" w:rsidRDefault="00681503">
      <w:r>
        <w:separator/>
      </w:r>
    </w:p>
  </w:footnote>
  <w:footnote w:type="continuationSeparator" w:id="0">
    <w:p w:rsidR="00681503" w:rsidRDefault="00681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B69D5"/>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73DB"/>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48CA"/>
    <w:rsid w:val="004358E6"/>
    <w:rsid w:val="00440B14"/>
    <w:rsid w:val="00447D9F"/>
    <w:rsid w:val="00454D12"/>
    <w:rsid w:val="00463561"/>
    <w:rsid w:val="004724D5"/>
    <w:rsid w:val="00473BA4"/>
    <w:rsid w:val="004745A3"/>
    <w:rsid w:val="0048272B"/>
    <w:rsid w:val="00493ABE"/>
    <w:rsid w:val="004A5285"/>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55"/>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1503"/>
    <w:rsid w:val="00685825"/>
    <w:rsid w:val="0069347C"/>
    <w:rsid w:val="00697BCC"/>
    <w:rsid w:val="006B086F"/>
    <w:rsid w:val="006E1FF4"/>
    <w:rsid w:val="006E7630"/>
    <w:rsid w:val="006F0A7E"/>
    <w:rsid w:val="006F6FC3"/>
    <w:rsid w:val="006F7D77"/>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70E5"/>
    <w:rsid w:val="008F50DB"/>
    <w:rsid w:val="008F5238"/>
    <w:rsid w:val="008F7723"/>
    <w:rsid w:val="00904BC8"/>
    <w:rsid w:val="00911248"/>
    <w:rsid w:val="00913A4E"/>
    <w:rsid w:val="00925F75"/>
    <w:rsid w:val="00971108"/>
    <w:rsid w:val="0097410F"/>
    <w:rsid w:val="00974280"/>
    <w:rsid w:val="00974393"/>
    <w:rsid w:val="0097704C"/>
    <w:rsid w:val="00986E71"/>
    <w:rsid w:val="00992211"/>
    <w:rsid w:val="009942EB"/>
    <w:rsid w:val="009A1862"/>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7181C"/>
    <w:rsid w:val="00C73C73"/>
    <w:rsid w:val="00C748B2"/>
    <w:rsid w:val="00C75F27"/>
    <w:rsid w:val="00C76A21"/>
    <w:rsid w:val="00C85BE4"/>
    <w:rsid w:val="00CA3B61"/>
    <w:rsid w:val="00CB05CD"/>
    <w:rsid w:val="00CB217B"/>
    <w:rsid w:val="00CB268F"/>
    <w:rsid w:val="00CB6A54"/>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568C4"/>
    <w:rsid w:val="00D6266A"/>
    <w:rsid w:val="00D91F48"/>
    <w:rsid w:val="00D97443"/>
    <w:rsid w:val="00DA3276"/>
    <w:rsid w:val="00DB1764"/>
    <w:rsid w:val="00DB2440"/>
    <w:rsid w:val="00DB3C8A"/>
    <w:rsid w:val="00DB5F18"/>
    <w:rsid w:val="00DC5F89"/>
    <w:rsid w:val="00DD0C51"/>
    <w:rsid w:val="00DD7AE6"/>
    <w:rsid w:val="00DE2F11"/>
    <w:rsid w:val="00E06E17"/>
    <w:rsid w:val="00E11578"/>
    <w:rsid w:val="00E2376E"/>
    <w:rsid w:val="00E25C09"/>
    <w:rsid w:val="00E35402"/>
    <w:rsid w:val="00E36414"/>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1389"/>
    <w:rsid w:val="00F11CAA"/>
    <w:rsid w:val="00F14865"/>
    <w:rsid w:val="00F3114F"/>
    <w:rsid w:val="00F3147A"/>
    <w:rsid w:val="00F31FF1"/>
    <w:rsid w:val="00F347B6"/>
    <w:rsid w:val="00F37571"/>
    <w:rsid w:val="00F44A15"/>
    <w:rsid w:val="00F46B3C"/>
    <w:rsid w:val="00F46FB3"/>
    <w:rsid w:val="00F4779A"/>
    <w:rsid w:val="00F64D94"/>
    <w:rsid w:val="00F70562"/>
    <w:rsid w:val="00F744B5"/>
    <w:rsid w:val="00F74986"/>
    <w:rsid w:val="00F845F5"/>
    <w:rsid w:val="00F84788"/>
    <w:rsid w:val="00F865EA"/>
    <w:rsid w:val="00F90AF4"/>
    <w:rsid w:val="00F92C7B"/>
    <w:rsid w:val="00FA21BD"/>
    <w:rsid w:val="00FB46C7"/>
    <w:rsid w:val="00FC2B5F"/>
    <w:rsid w:val="00FD0009"/>
    <w:rsid w:val="00FD51B5"/>
    <w:rsid w:val="00FF402A"/>
    <w:rsid w:val="00FF690A"/>
    <w:rsid w:val="1BC610C9"/>
    <w:rsid w:val="47123D4E"/>
    <w:rsid w:val="5EA31D3A"/>
    <w:rsid w:val="6B6624D7"/>
    <w:rsid w:val="7B6B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42C9F1C-EC5B-4143-8437-1615575F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qFormat/>
  </w:style>
  <w:style w:type="character" w:customStyle="1" w:styleId="Char1">
    <w:name w:val="页眉 Char"/>
    <w:basedOn w:val="a0"/>
    <w:link w:val="a6"/>
    <w:qFormat/>
    <w:rPr>
      <w:kern w:val="2"/>
      <w:sz w:val="18"/>
      <w:szCs w:val="18"/>
    </w:rPr>
  </w:style>
  <w:style w:type="character" w:customStyle="1" w:styleId="Char0">
    <w:name w:val="批注框文本 Char"/>
    <w:basedOn w:val="a0"/>
    <w:link w:val="a4"/>
    <w:rPr>
      <w:kern w:val="2"/>
      <w:sz w:val="18"/>
      <w:szCs w:val="18"/>
    </w:rPr>
  </w:style>
  <w:style w:type="character" w:customStyle="1" w:styleId="Char">
    <w:name w:val="纯文本 Char"/>
    <w:basedOn w:val="a0"/>
    <w:link w:val="a3"/>
    <w:uiPriority w:val="99"/>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2A243B-382A-45D7-BEFE-E3C32699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244</Words>
  <Characters>1392</Characters>
  <Application>Microsoft Office Word</Application>
  <DocSecurity>0</DocSecurity>
  <Lines>11</Lines>
  <Paragraphs>3</Paragraphs>
  <ScaleCrop>false</ScaleCrop>
  <Company>Lenovo (Beijing) Limited</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梁姝</cp:lastModifiedBy>
  <cp:revision>14</cp:revision>
  <cp:lastPrinted>2014-04-03T09:04:00Z</cp:lastPrinted>
  <dcterms:created xsi:type="dcterms:W3CDTF">2021-03-16T08:12:00Z</dcterms:created>
  <dcterms:modified xsi:type="dcterms:W3CDTF">2021-11-11T07:00:00Z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D5D683D8C8784BCB8658659BB024B3A4</vt:lpwstr>
  </property>
</Properties>
</file>