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关于国有资产产权管理行政案件</w:t>
      </w:r>
    </w:p>
    <w:p>
      <w:pPr>
        <w:pStyle w:val="7"/>
        <w:rPr>
          <w:rFonts w:hint="eastAsia"/>
        </w:rPr>
      </w:pPr>
      <w:r>
        <w:t>管辖问题的解释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法释〔2001〕6号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2001年1月10日最高人民法院审</w:t>
      </w:r>
      <w:bookmarkStart w:id="0" w:name="_GoBack"/>
      <w:bookmarkEnd w:id="0"/>
      <w:r>
        <w:t>判委员会第1156次会议通过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2001</w:t>
      </w:r>
      <w:r>
        <w:t>年2月16日最高人民法院公告公布　自2001年2月21日起施行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/>
        </w:rPr>
      </w:pPr>
      <w:r>
        <w:t>为了正确适用《中华人民共和国行政诉讼法》第十七条、第十九条的规定</w:t>
      </w:r>
      <w:r>
        <w:rPr>
          <w:rFonts w:hint="eastAsia"/>
        </w:rPr>
        <w:t>，</w:t>
      </w:r>
      <w:r>
        <w:t>现对国有资产产权管理行政案件的管辖问题作出如下解释：</w:t>
      </w:r>
    </w:p>
    <w:p>
      <w:pPr>
        <w:pStyle w:val="12"/>
        <w:rPr>
          <w:rFonts w:hint="eastAsia"/>
        </w:rPr>
      </w:pPr>
      <w:r>
        <w:t>当事人因国有资产产权界定行为提起行政诉讼的</w:t>
      </w:r>
      <w:r>
        <w:rPr>
          <w:rFonts w:hint="eastAsia"/>
        </w:rPr>
        <w:t>，</w:t>
      </w:r>
      <w:r>
        <w:t>应当根据不同情况确定管辖法院。产权界定行为直接针对不动产作出的</w:t>
      </w:r>
      <w:r>
        <w:rPr>
          <w:rFonts w:hint="eastAsia"/>
        </w:rPr>
        <w:t>，</w:t>
      </w:r>
      <w:r>
        <w:t>由不动产所在地人民法院管辖。产权</w:t>
      </w:r>
      <w:r>
        <w:rPr>
          <w:rFonts w:hint="eastAsia"/>
        </w:rPr>
        <w:t>界定行为针对包含不动产在内的整体产权作出的，由最初作出产权界定的行政机关所在地人民法院管辖；经过复议的案件，复议机关改变原产权界定行为的，也可以由复议机关所在地人民法院管辖。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D5E06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8DF0A19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  <w:rsid w:val="7BFD5E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2017-11-02T10:20:00Z</dcterms:created>
  <dc:creator>Administrator</dc:creator>
  <cp:lastModifiedBy>Administrator</cp:lastModifiedBy>
  <dcterms:modified xsi:type="dcterms:W3CDTF">2017-11-02T11:06:15Z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