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0EA896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最高人民法院关于审理专利纠纷案件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适用法律问题的若干规定</w:t>
      </w:r>
    </w:p>
    <w:p w14:paraId="08DD562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6月19日最高人民法院审判委员会第1180次会议通过，根据2013年2月25日最高人民法院审判委员会第1570次会议通过的《最高人民法院关于修改〈最高人民法院关于审理专利纠纷案件适用法律问题的若干规定〉的决定》第一次修正，根据2015年1月19日最高人民法院审判委员会第1641次会议通过的《最高人民法院关于修改〈最高人民法院关于审理专利纠纷案件适用法律问题的若干规定〉的决定》第二次修正，根据2020年12月23日最高人民法院审判委员会第1823次会议通过的《最高人民法院关于修改〈最高人民法院关于审理侵犯专利权纠纷案件应用法律若干问题的解释（二）〉等十八件知识产权类司法解释的决定》第三次修正）</w:t>
      </w:r>
    </w:p>
    <w:p w14:paraId="6E6F2566">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为了正确审理专利纠纷案件，根据《中华人民共和国民法典》《中华人民共和国专利法》《中华人民共和国民事诉讼法》和《中华人民共和国行政诉讼法》等法律的规定，作如下规定：</w:t>
      </w:r>
    </w:p>
    <w:p w14:paraId="29C913AD">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人民法院受理下列专利纠纷案件：</w:t>
      </w:r>
    </w:p>
    <w:p w14:paraId="5CE51F4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1.专利申请权权属纠纷案件；</w:t>
      </w:r>
    </w:p>
    <w:p w14:paraId="45E53B9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2.专利权权属纠纷案件；</w:t>
      </w:r>
    </w:p>
    <w:p w14:paraId="5401CF3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3.专利合同纠纷案件；</w:t>
      </w:r>
    </w:p>
    <w:p w14:paraId="5EA35E1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4.侵害专利权纠纷案件；</w:t>
      </w:r>
    </w:p>
    <w:p w14:paraId="2F9709F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5.假冒他人专利纠纷案件；</w:t>
      </w:r>
    </w:p>
    <w:p w14:paraId="12738A2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6.发明专利临时保护期使用费纠纷案件；</w:t>
      </w:r>
    </w:p>
    <w:p w14:paraId="73AA765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7.职务发明创造发明人、设计人奖励、报酬纠纷案件；</w:t>
      </w:r>
    </w:p>
    <w:p w14:paraId="6FBB72B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8.诉前申请行为保全纠纷案件；</w:t>
      </w:r>
    </w:p>
    <w:p w14:paraId="5965A89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9.诉前申请财产保全纠纷案件；</w:t>
      </w:r>
    </w:p>
    <w:p w14:paraId="6698784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10.因申请行为保全损害责任纠纷案件；</w:t>
      </w:r>
    </w:p>
    <w:p w14:paraId="03F7E33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11.因申请财产保全损害责任纠纷案件；</w:t>
      </w:r>
    </w:p>
    <w:p w14:paraId="399AF2B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12.发明创造发明人、设计人署名权纠纷案件；</w:t>
      </w:r>
    </w:p>
    <w:p w14:paraId="5B4FE10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13.确认不侵害专利权纠纷案件；</w:t>
      </w:r>
    </w:p>
    <w:p w14:paraId="3FD0AD4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14.专利权宣告无效后返还费用纠纷案件；</w:t>
      </w:r>
    </w:p>
    <w:p w14:paraId="7D47976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15.因恶意提起专利权诉讼损害责任纠纷案件；</w:t>
      </w:r>
    </w:p>
    <w:p w14:paraId="3BAEA2E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16.标准必要专利使用费纠纷案件；</w:t>
      </w:r>
    </w:p>
    <w:p w14:paraId="7C37124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17.不服国务院专利行政部门维持驳回申请复审决定案件；</w:t>
      </w:r>
    </w:p>
    <w:p w14:paraId="46DDFFF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18.不服国务院专利行政部门专利权无效宣告请求决定案件；</w:t>
      </w:r>
    </w:p>
    <w:p w14:paraId="1E38994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19.不服国务院专利行政部门实施强制许可决定案件；</w:t>
      </w:r>
    </w:p>
    <w:p w14:paraId="4B43A4C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20.不服国务院专利行政部门实施强制许可使用费裁决案件；</w:t>
      </w:r>
    </w:p>
    <w:p w14:paraId="363E0B5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21.不服国务院专利行政部门行政复议决定案件；</w:t>
      </w:r>
    </w:p>
    <w:p w14:paraId="5B507BE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22.不服国务院专利行政部门作出的其他行政决定案件；</w:t>
      </w:r>
    </w:p>
    <w:p w14:paraId="40D8485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23.不服管理专利工作的部门行政决定案件；</w:t>
      </w:r>
    </w:p>
    <w:p w14:paraId="6D4C428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24.确认是否落入专利权保护范围纠纷案件；</w:t>
      </w:r>
    </w:p>
    <w:p w14:paraId="339DAC0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25.其他专利纠纷案件。</w:t>
      </w:r>
    </w:p>
    <w:p w14:paraId="20293E7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因侵犯专利权行为提起的诉讼，由侵权行为地或者被告住所地人民法院管辖。</w:t>
      </w:r>
    </w:p>
    <w:p w14:paraId="586272E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侵权行为地包括：被诉侵犯发明、实用新型专利权的产品的制造、使用、许诺销售、销售、进口等行为的实施地；专利方法使用行为的实施地，依照该专利方法直接获得的产品的使用、许诺销售、销售、进口等行为的实施地；外观设计专利产品的制造、许诺销售、销售、进口等行为的实施地；假冒他人专利的行为实施地。上述侵权行为的侵权结果发生地。</w:t>
      </w:r>
    </w:p>
    <w:p w14:paraId="7BF8F45C">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原告仅对侵权产品制造者提起诉讼，未起诉销售者，侵权产品制造地与销售地不一致的，制造地人民法院有管辖权；以制造者与销售者为共同被告起诉的，销售地人民法院有管辖权。</w:t>
      </w:r>
    </w:p>
    <w:p w14:paraId="2B81E4F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销售者是制造者分支机构，原告在销售地起诉侵权产品制造者制造、销售行为的，销售地人民法院有管辖权。</w:t>
      </w:r>
    </w:p>
    <w:p w14:paraId="6C8C2BA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对申请日在2009年10月1日前（不含该日）的实用新型专利提起侵犯专利权诉讼，原告可以出具由国务院专利行政部门作出的检索报告；对申请日在2009年10月1日以后的实用新型或者外观设计专利提起侵犯专利权诉讼，原告可以出具由国务院专利行政部门作出的专利权评价报告。根据案件审理需要，人民法院可以要求原告提交检索报告或者专利权评价报告。原告无正当理由不提交的，人民法院可以裁定中止诉讼或者判令原告承担可能的不利后果。</w:t>
      </w:r>
    </w:p>
    <w:p w14:paraId="2F12467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侵犯实用新型、外观设计专利权纠纷案件的被告请求中止诉讼的，应当在答辩期内对原告的专利权提出宣告无效的请求。</w:t>
      </w:r>
    </w:p>
    <w:p w14:paraId="5693432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人民法院受理的侵犯实用新型、外观设计专利权纠纷案件，被告在答辩期间内请求宣告该项专利权无效的，人民法院应当中止诉讼，但具备下列情形之一的，可以不中止诉讼：</w:t>
      </w:r>
    </w:p>
    <w:p w14:paraId="56FE5A3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（一）原告出具的检索报告或者专利权评价报告未发现导致实用新型或者外观设计专利权无效的事由的；</w:t>
      </w:r>
    </w:p>
    <w:p w14:paraId="2AB0C5E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（二）被告提供的证据足以证明其使用的技术已经公知的；</w:t>
      </w:r>
    </w:p>
    <w:p w14:paraId="57AFF68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（三）被告请求宣告该项专利权无效所提供的证据或者依据的理由明显不充分的；</w:t>
      </w:r>
    </w:p>
    <w:p w14:paraId="0263E21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（四）人民法院认为不应当中止诉讼的其他情形。</w:t>
      </w:r>
    </w:p>
    <w:p w14:paraId="5D9E10C4">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人民法院受理的侵犯实用新型、外观设计专利权纠纷案件，被告在答辩期间届满后请求宣告该项专利权无效的，人民法院不应当中止诉讼，但经审查认为有必要中止诉讼的除外。</w:t>
      </w:r>
    </w:p>
    <w:p w14:paraId="32FD7EED">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人民法院受理的侵犯发明专利权纠纷案件或者经国务院专利行政部门审查维持专利权的侵犯实用新型、外观设计专利权纠纷案件，被告在答辩期间内请求宣告该项专利权无效的，人民法院可以不中止诉讼。</w:t>
      </w:r>
    </w:p>
    <w:p w14:paraId="0995C6A9">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人民法院决定中止诉讼，专利权人或者利害关系人请求责令被告停止有关行为或者采取其他制止侵权损害继续扩大的措施，并提供了担保，人民法院经审查符合有关法律规定的，可以在裁定中止诉讼的同时一并作出有关裁定。</w:t>
      </w:r>
    </w:p>
    <w:p w14:paraId="5D398DCC">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人民法院对专利权进行财产保全，应当向国务院专利行政部门发出协助执行通知书，载明要求协助执行的事项，以及对专利权保全的期限，并附人民法院作出的裁定书。</w:t>
      </w:r>
    </w:p>
    <w:p w14:paraId="26866BE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对专利权保全的期限一次不得超过六个月，自国务院专利行政部门收到协助执行通知书之日起计算。如果仍然需要对该专利权继续采取保全措施的，人民法院应当在保全期限届满前向国务院专利行政部门另行送达继续保全的协助执行通知书。保全期限届满前未送达的，视为自动解除对该专利权的财产保全。</w:t>
      </w:r>
    </w:p>
    <w:p w14:paraId="12DA95D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人民法院对出质的专利权可以采取财产保全措施，质权人的优先受偿权不受保全措施的影响；专利权人与被许可人已经签订的独占实施许可合同，不影响人民法院对该专利权进行财产保全。</w:t>
      </w:r>
    </w:p>
    <w:p w14:paraId="590E213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人民法院对已经进行保全的专利权，不得重复进行保全。</w:t>
      </w:r>
    </w:p>
    <w:p w14:paraId="4271C506">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2001年7月1日以前利用本单位的物质技术条件所完成的发明创造，单位与发明人或者设计人订有合同，对申请专利的权利和专利权的归属作出约定的，从其约定。</w:t>
      </w:r>
    </w:p>
    <w:p w14:paraId="65D87E76">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人民法院受理的侵犯专利权纠纷案件，涉及权利冲突的，应当保护在先依法享有权利的当事人的合法权益。</w:t>
      </w:r>
    </w:p>
    <w:p w14:paraId="24D05C1A">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专利法第二十三条第三款所称的合法权利，包括就作品、商标、地理标志、姓名、企业名称、肖像，以及有一定影响的商品名称、包装、装潢等享有的合法权利或者权益。</w:t>
      </w:r>
    </w:p>
    <w:p w14:paraId="1EF41040">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专利法第五十九条第一款所称的“发明或者实用新型专利权的保护范围以其权利要求的内容为准，说明书及附图可以用于解释权利要求的内容”，是指专利权的保护范围应当以权利要求记载的全部技术特征所确定的范围为准，也包括与该技术特征相等同的特征所确定的范围。</w:t>
      </w:r>
    </w:p>
    <w:p w14:paraId="3966087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等同特征，是指与所记载的技术特征以基本相同的手段，实现基本相同的功能，达到基本相同的效果，并且本领域普通技术人员在被诉侵权行为发生时无需经过创造性劳动就能够联想到的特征。</w:t>
      </w:r>
    </w:p>
    <w:p w14:paraId="52F994D8">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专利法第六十五条规定的权利人因被侵权所受到的实际损失可以根据专利权人的专利产品因侵权所造成销售量减少的总数乘以每件专利产品的合理利润所得之积计算。权利人销售量减少的总数难以确定的，侵权产品在市场上销售的总数乘以每件专利产品的合理利润所得之积可以视为权利人因被侵权所受到的实际损失。</w:t>
      </w:r>
    </w:p>
    <w:p w14:paraId="4F274DD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专利法第六十五条规定的侵权人因侵权所获得的利益可以根据该侵权产品在市场上销售的总数乘以每件侵权产品的合理利润所得之积计算。侵权人因侵权所获得的利益一般按照侵权人的营业利润计算，对于完全以侵权为业的侵权人，可以按照销售利润计算。</w:t>
      </w:r>
    </w:p>
    <w:p w14:paraId="338923FF">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第十五条</w:t>
      </w:r>
      <w:r>
        <w:rPr>
          <w:rFonts w:hint="eastAsia" w:ascii="Times New Roman" w:hAnsi="Times New Roman" w:cs="仿宋_GB2312"/>
          <w:sz w:val="32"/>
          <w:szCs w:val="32"/>
        </w:rPr>
        <w:t>　权利人的损失或者侵权人获得的利益难以确定，有专利许可使用费可以参照的，人民法院可以根据专利权的类型、侵权行为的性质和情节、专利许可的性质、范围、时间等因素，参照该专利许可使用费的倍数合理确定赔偿数额；没有专利许可使用费可以参照或者专利许可使用费明显不合理的，人民法院可以根据专利权的类型、侵权行为的性质和情节等因素，依照专利法第六十五条第二款的规定确定赔偿数额。</w:t>
      </w:r>
    </w:p>
    <w:p w14:paraId="6C552954">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第十六条</w:t>
      </w:r>
      <w:r>
        <w:rPr>
          <w:rFonts w:hint="eastAsia" w:ascii="Times New Roman" w:hAnsi="Times New Roman" w:cs="仿宋_GB2312"/>
          <w:sz w:val="32"/>
          <w:szCs w:val="32"/>
        </w:rPr>
        <w:t>　权利人主张其为制止侵权行为所支付合理开支的，人民法院可以在专利法第六十五条确定的赔偿数额之外另行计算。</w:t>
      </w:r>
    </w:p>
    <w:p w14:paraId="376CE0AA">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第十七条</w:t>
      </w:r>
      <w:r>
        <w:rPr>
          <w:rFonts w:hint="eastAsia" w:ascii="Times New Roman" w:hAnsi="Times New Roman" w:cs="仿宋_GB2312"/>
          <w:sz w:val="32"/>
          <w:szCs w:val="32"/>
        </w:rPr>
        <w:t>　侵犯专利权的诉讼时效为三年，自专利权人或者利害关系人知道或者应当知道权利受到损害以及义务人之日起计算。权利人超过三年起诉的，如果侵权行为在起诉时仍在继续，在该项专利权有效期内，人民法院应当判决被告停止侵权行为，侵权损害赔偿数额应当自权利人向人民法院起诉之日起向前推算三年计算。</w:t>
      </w:r>
    </w:p>
    <w:p w14:paraId="04B2CD47">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第十八条</w:t>
      </w:r>
      <w:r>
        <w:rPr>
          <w:rFonts w:hint="eastAsia" w:ascii="Times New Roman" w:hAnsi="Times New Roman" w:cs="仿宋_GB2312"/>
          <w:sz w:val="32"/>
          <w:szCs w:val="32"/>
        </w:rPr>
        <w:t>　专利法第十一条、第六十九条所称的许诺销售，是指以做广告、在商店橱窗中陈列或者在展销会上展出等方式作出销售商品的意思表示。</w:t>
      </w:r>
    </w:p>
    <w:p w14:paraId="1209F36C">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第十九条</w:t>
      </w:r>
      <w:r>
        <w:rPr>
          <w:rFonts w:hint="eastAsia" w:ascii="Times New Roman" w:hAnsi="Times New Roman" w:cs="仿宋_GB2312"/>
          <w:sz w:val="32"/>
          <w:szCs w:val="32"/>
        </w:rPr>
        <w:t>　人民法院受理的侵犯专利权纠纷案件，已经过管理专利工作的部门作出侵权或者不侵权认定的，人民法院仍应当就当事人的诉讼请求进行全面审查。</w:t>
      </w:r>
    </w:p>
    <w:p w14:paraId="6419E4EA">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第二十条</w:t>
      </w:r>
      <w:r>
        <w:rPr>
          <w:rFonts w:hint="eastAsia" w:ascii="Times New Roman" w:hAnsi="Times New Roman" w:cs="仿宋_GB2312"/>
          <w:sz w:val="32"/>
          <w:szCs w:val="32"/>
        </w:rPr>
        <w:t>　以前的有关司法解释与本规定不一致的，以本规定为准。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1EF36F1"/>
    <w:rsid w:val="442624E3"/>
    <w:rsid w:val="479733DA"/>
    <w:rsid w:val="481351D2"/>
    <w:rsid w:val="4AB1034C"/>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3442</Words>
  <Characters>3523</Characters>
  <Lines>87</Lines>
  <Paragraphs>24</Paragraphs>
  <TotalTime>0</TotalTime>
  <ScaleCrop>false</ScaleCrop>
  <LinksUpToDate>false</LinksUpToDate>
  <CharactersWithSpaces>3543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2024-12-29T17:20:52Z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8C8E6B3879674E689330E01346A74EEF_13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