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5D4" w:rsidRDefault="001A45D4">
      <w:pPr>
        <w:pStyle w:val="a3"/>
        <w:spacing w:line="560" w:lineRule="exact"/>
        <w:rPr>
          <w:rFonts w:ascii="仿宋_GB2312" w:eastAsia="仿宋_GB2312" w:hAnsi="宋体" w:cs="宋体" w:hint="eastAsia"/>
          <w:sz w:val="32"/>
          <w:szCs w:val="32"/>
        </w:rPr>
      </w:pPr>
      <w:bookmarkStart w:id="0" w:name="_GoBack"/>
      <w:bookmarkEnd w:id="0"/>
    </w:p>
    <w:p w:rsidR="001A45D4" w:rsidRDefault="001A45D4">
      <w:pPr>
        <w:pStyle w:val="a3"/>
        <w:spacing w:line="560" w:lineRule="exact"/>
        <w:rPr>
          <w:rFonts w:ascii="仿宋_GB2312" w:eastAsia="仿宋_GB2312" w:hAnsi="宋体" w:cs="宋体"/>
          <w:sz w:val="32"/>
          <w:szCs w:val="32"/>
        </w:rPr>
      </w:pPr>
    </w:p>
    <w:p w:rsidR="001A45D4" w:rsidRDefault="00B96C26">
      <w:pPr>
        <w:pStyle w:val="a3"/>
        <w:spacing w:line="560" w:lineRule="exact"/>
        <w:jc w:val="center"/>
        <w:rPr>
          <w:rFonts w:asciiTheme="majorEastAsia" w:eastAsiaTheme="majorEastAsia" w:hAnsiTheme="majorEastAsia" w:cs="宋体"/>
          <w:sz w:val="44"/>
          <w:szCs w:val="44"/>
        </w:rPr>
      </w:pPr>
      <w:r>
        <w:rPr>
          <w:rFonts w:asciiTheme="majorEastAsia" w:eastAsiaTheme="majorEastAsia" w:hAnsiTheme="majorEastAsia" w:cs="宋体" w:hint="eastAsia"/>
          <w:sz w:val="44"/>
          <w:szCs w:val="44"/>
        </w:rPr>
        <w:t>最高人民法院</w:t>
      </w:r>
    </w:p>
    <w:p w:rsidR="001A45D4" w:rsidRDefault="00B96C26">
      <w:pPr>
        <w:pStyle w:val="a3"/>
        <w:spacing w:line="560" w:lineRule="exact"/>
        <w:jc w:val="center"/>
        <w:rPr>
          <w:rFonts w:asciiTheme="majorEastAsia" w:eastAsiaTheme="majorEastAsia" w:hAnsiTheme="majorEastAsia" w:cs="宋体"/>
          <w:sz w:val="44"/>
          <w:szCs w:val="44"/>
        </w:rPr>
      </w:pPr>
      <w:r>
        <w:rPr>
          <w:rFonts w:asciiTheme="majorEastAsia" w:eastAsiaTheme="majorEastAsia" w:hAnsiTheme="majorEastAsia" w:cs="宋体" w:hint="eastAsia"/>
          <w:sz w:val="44"/>
          <w:szCs w:val="44"/>
        </w:rPr>
        <w:t>关于审理使用人脸识别技术处理个人信息</w:t>
      </w:r>
    </w:p>
    <w:p w:rsidR="001A45D4" w:rsidRDefault="00B96C26">
      <w:pPr>
        <w:pStyle w:val="a3"/>
        <w:spacing w:line="560" w:lineRule="exact"/>
        <w:jc w:val="center"/>
        <w:rPr>
          <w:rFonts w:asciiTheme="majorEastAsia" w:eastAsiaTheme="majorEastAsia" w:hAnsiTheme="majorEastAsia" w:cs="宋体"/>
          <w:sz w:val="44"/>
          <w:szCs w:val="44"/>
        </w:rPr>
      </w:pPr>
      <w:r>
        <w:rPr>
          <w:rFonts w:asciiTheme="majorEastAsia" w:eastAsiaTheme="majorEastAsia" w:hAnsiTheme="majorEastAsia" w:cs="宋体" w:hint="eastAsia"/>
          <w:sz w:val="44"/>
          <w:szCs w:val="44"/>
        </w:rPr>
        <w:t>相关民事案件适用法律若干问题的规定</w:t>
      </w:r>
    </w:p>
    <w:p w:rsidR="001A45D4" w:rsidRDefault="001A45D4">
      <w:pPr>
        <w:pStyle w:val="a3"/>
        <w:spacing w:line="560" w:lineRule="exact"/>
        <w:rPr>
          <w:rFonts w:ascii="仿宋_GB2312" w:eastAsia="仿宋_GB2312" w:hAnsi="宋体" w:cs="宋体"/>
          <w:sz w:val="32"/>
          <w:szCs w:val="32"/>
        </w:rPr>
      </w:pPr>
    </w:p>
    <w:p w:rsidR="001A45D4" w:rsidRDefault="00B96C26">
      <w:pPr>
        <w:pStyle w:val="a3"/>
        <w:spacing w:line="560" w:lineRule="exact"/>
        <w:jc w:val="center"/>
        <w:rPr>
          <w:rFonts w:ascii="楷体_GB2312" w:eastAsia="楷体_GB2312" w:hAnsi="宋体" w:cs="宋体"/>
          <w:sz w:val="32"/>
          <w:szCs w:val="32"/>
        </w:rPr>
      </w:pPr>
      <w:r>
        <w:rPr>
          <w:rFonts w:ascii="楷体_GB2312" w:eastAsia="楷体_GB2312" w:hAnsi="宋体" w:cs="宋体" w:hint="eastAsia"/>
          <w:sz w:val="32"/>
          <w:szCs w:val="32"/>
        </w:rPr>
        <w:t>法释〔</w:t>
      </w:r>
      <w:r>
        <w:rPr>
          <w:rFonts w:ascii="楷体_GB2312" w:eastAsia="楷体_GB2312" w:hAnsi="宋体" w:cs="宋体" w:hint="eastAsia"/>
          <w:sz w:val="32"/>
          <w:szCs w:val="32"/>
        </w:rPr>
        <w:t>2021</w:t>
      </w:r>
      <w:r>
        <w:rPr>
          <w:rFonts w:ascii="楷体_GB2312" w:eastAsia="楷体_GB2312" w:hAnsi="宋体" w:cs="宋体" w:hint="eastAsia"/>
          <w:sz w:val="32"/>
          <w:szCs w:val="32"/>
        </w:rPr>
        <w:t>〕</w:t>
      </w:r>
      <w:r>
        <w:rPr>
          <w:rFonts w:ascii="楷体_GB2312" w:eastAsia="楷体_GB2312" w:hAnsi="宋体" w:cs="宋体" w:hint="eastAsia"/>
          <w:sz w:val="32"/>
          <w:szCs w:val="32"/>
        </w:rPr>
        <w:t>15</w:t>
      </w:r>
      <w:r>
        <w:rPr>
          <w:rFonts w:ascii="楷体_GB2312" w:eastAsia="楷体_GB2312" w:hAnsi="宋体" w:cs="宋体" w:hint="eastAsia"/>
          <w:sz w:val="32"/>
          <w:szCs w:val="32"/>
        </w:rPr>
        <w:t>号</w:t>
      </w:r>
    </w:p>
    <w:p w:rsidR="001A45D4" w:rsidRDefault="001A45D4">
      <w:pPr>
        <w:pStyle w:val="a3"/>
        <w:spacing w:line="560" w:lineRule="exact"/>
        <w:rPr>
          <w:rFonts w:ascii="仿宋_GB2312" w:eastAsia="仿宋_GB2312" w:hAnsi="宋体" w:cs="宋体"/>
          <w:sz w:val="32"/>
          <w:szCs w:val="32"/>
        </w:rPr>
      </w:pPr>
    </w:p>
    <w:p w:rsidR="001A45D4" w:rsidRDefault="00B96C26">
      <w:pPr>
        <w:pStyle w:val="a3"/>
        <w:spacing w:line="560" w:lineRule="exact"/>
        <w:ind w:leftChars="300" w:left="630" w:rightChars="300" w:right="630"/>
        <w:rPr>
          <w:rFonts w:ascii="仿宋_GB2312" w:eastAsia="仿宋_GB2312" w:hAnsi="宋体" w:cs="宋体"/>
          <w:sz w:val="32"/>
          <w:szCs w:val="32"/>
        </w:rPr>
      </w:pPr>
      <w:r>
        <w:rPr>
          <w:rFonts w:ascii="楷体_GB2312" w:eastAsia="楷体_GB2312" w:hAnsi="宋体" w:cs="宋体" w:hint="eastAsia"/>
          <w:sz w:val="32"/>
          <w:szCs w:val="32"/>
        </w:rPr>
        <w:t>（</w:t>
      </w:r>
      <w:r>
        <w:rPr>
          <w:rFonts w:ascii="楷体_GB2312" w:eastAsia="楷体_GB2312" w:hAnsi="宋体" w:cs="宋体" w:hint="eastAsia"/>
          <w:sz w:val="32"/>
          <w:szCs w:val="32"/>
        </w:rPr>
        <w:t>2021</w:t>
      </w:r>
      <w:r>
        <w:rPr>
          <w:rFonts w:ascii="楷体_GB2312" w:eastAsia="楷体_GB2312" w:hAnsi="宋体" w:cs="宋体" w:hint="eastAsia"/>
          <w:sz w:val="32"/>
          <w:szCs w:val="32"/>
        </w:rPr>
        <w:t>年</w:t>
      </w:r>
      <w:r>
        <w:rPr>
          <w:rFonts w:ascii="楷体_GB2312" w:eastAsia="楷体_GB2312" w:hAnsi="宋体" w:cs="宋体" w:hint="eastAsia"/>
          <w:sz w:val="32"/>
          <w:szCs w:val="32"/>
        </w:rPr>
        <w:t>6</w:t>
      </w:r>
      <w:r>
        <w:rPr>
          <w:rFonts w:ascii="楷体_GB2312" w:eastAsia="楷体_GB2312" w:hAnsi="宋体" w:cs="宋体" w:hint="eastAsia"/>
          <w:sz w:val="32"/>
          <w:szCs w:val="32"/>
        </w:rPr>
        <w:t>月</w:t>
      </w:r>
      <w:r>
        <w:rPr>
          <w:rFonts w:ascii="楷体_GB2312" w:eastAsia="楷体_GB2312" w:hAnsi="宋体" w:cs="宋体" w:hint="eastAsia"/>
          <w:sz w:val="32"/>
          <w:szCs w:val="32"/>
        </w:rPr>
        <w:t>8</w:t>
      </w:r>
      <w:r>
        <w:rPr>
          <w:rFonts w:ascii="楷体_GB2312" w:eastAsia="楷体_GB2312" w:hAnsi="宋体" w:cs="宋体" w:hint="eastAsia"/>
          <w:sz w:val="32"/>
          <w:szCs w:val="32"/>
        </w:rPr>
        <w:t>日最高人民法院审判委员会第</w:t>
      </w:r>
      <w:r>
        <w:rPr>
          <w:rFonts w:ascii="楷体_GB2312" w:eastAsia="楷体_GB2312" w:hAnsi="宋体" w:cs="宋体" w:hint="eastAsia"/>
          <w:sz w:val="32"/>
          <w:szCs w:val="32"/>
        </w:rPr>
        <w:t>1841</w:t>
      </w:r>
      <w:r>
        <w:rPr>
          <w:rFonts w:ascii="楷体_GB2312" w:eastAsia="楷体_GB2312" w:hAnsi="宋体" w:cs="宋体" w:hint="eastAsia"/>
          <w:sz w:val="32"/>
          <w:szCs w:val="32"/>
        </w:rPr>
        <w:t>次会议通过，自</w:t>
      </w:r>
      <w:r>
        <w:rPr>
          <w:rFonts w:ascii="楷体_GB2312" w:eastAsia="楷体_GB2312" w:hAnsi="宋体" w:cs="宋体" w:hint="eastAsia"/>
          <w:sz w:val="32"/>
          <w:szCs w:val="32"/>
        </w:rPr>
        <w:t>2021</w:t>
      </w:r>
      <w:r>
        <w:rPr>
          <w:rFonts w:ascii="楷体_GB2312" w:eastAsia="楷体_GB2312" w:hAnsi="宋体" w:cs="宋体" w:hint="eastAsia"/>
          <w:sz w:val="32"/>
          <w:szCs w:val="32"/>
        </w:rPr>
        <w:t>年</w:t>
      </w:r>
      <w:r>
        <w:rPr>
          <w:rFonts w:ascii="楷体_GB2312" w:eastAsia="楷体_GB2312" w:hAnsi="宋体" w:cs="宋体" w:hint="eastAsia"/>
          <w:sz w:val="32"/>
          <w:szCs w:val="32"/>
        </w:rPr>
        <w:t>8</w:t>
      </w:r>
      <w:r>
        <w:rPr>
          <w:rFonts w:ascii="楷体_GB2312" w:eastAsia="楷体_GB2312" w:hAnsi="宋体" w:cs="宋体" w:hint="eastAsia"/>
          <w:sz w:val="32"/>
          <w:szCs w:val="32"/>
        </w:rPr>
        <w:t>月</w:t>
      </w:r>
      <w:r>
        <w:rPr>
          <w:rFonts w:ascii="楷体_GB2312" w:eastAsia="楷体_GB2312" w:hAnsi="宋体" w:cs="宋体" w:hint="eastAsia"/>
          <w:sz w:val="32"/>
          <w:szCs w:val="32"/>
        </w:rPr>
        <w:t>1</w:t>
      </w:r>
      <w:r>
        <w:rPr>
          <w:rFonts w:ascii="楷体_GB2312" w:eastAsia="楷体_GB2312" w:hAnsi="宋体" w:cs="宋体" w:hint="eastAsia"/>
          <w:sz w:val="32"/>
          <w:szCs w:val="32"/>
        </w:rPr>
        <w:t>日起施行）</w:t>
      </w:r>
    </w:p>
    <w:p w:rsidR="001A45D4" w:rsidRDefault="001A45D4">
      <w:pPr>
        <w:pStyle w:val="a3"/>
        <w:spacing w:line="560" w:lineRule="exact"/>
        <w:rPr>
          <w:rFonts w:ascii="仿宋_GB2312" w:eastAsia="仿宋_GB2312" w:hAnsi="宋体" w:cs="宋体"/>
          <w:sz w:val="32"/>
          <w:szCs w:val="32"/>
        </w:rPr>
      </w:pP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使用人脸识别技术处理个人信息相关民事案件，保护当事人合法权益，促进数字经济健康发展，根据《中华人民共和国民法典》《中华人民共和国网络安全法》《中华人民共和国消费者权益保护法》《中华人民共和国电子商务法》《中华人民共和国民事诉讼法》等法律的规定，结合审判实践，制定本规定。</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第一条</w:t>
      </w:r>
      <w:r>
        <w:rPr>
          <w:rFonts w:ascii="黑体" w:eastAsia="黑体" w:hAnsi="宋体" w:cs="宋体" w:hint="eastAsia"/>
          <w:sz w:val="32"/>
          <w:szCs w:val="32"/>
        </w:rPr>
        <w:t xml:space="preserve">　</w:t>
      </w:r>
      <w:r>
        <w:rPr>
          <w:rFonts w:ascii="仿宋_GB2312" w:eastAsia="仿宋_GB2312" w:hAnsi="宋体" w:cs="宋体" w:hint="eastAsia"/>
          <w:sz w:val="32"/>
          <w:szCs w:val="32"/>
        </w:rPr>
        <w:t>因信息处理者违反法律、行政法规的规定或者双方的约定使用人脸识别技术处理人脸信息、处理基于人脸识别技术生成的人脸信息所引起的民事案件，适用本规定。</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人脸信息的处理包括人脸信息的收集、存储、使用、加工、传输、提供、公开等。</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w:t>
      </w:r>
      <w:r>
        <w:rPr>
          <w:rFonts w:ascii="仿宋_GB2312" w:eastAsia="仿宋_GB2312" w:hAnsi="宋体" w:cs="宋体" w:hint="eastAsia"/>
          <w:sz w:val="32"/>
          <w:szCs w:val="32"/>
        </w:rPr>
        <w:t>规定所称人脸信息属于民法典第一千零三十四条规定的</w:t>
      </w:r>
      <w:r>
        <w:rPr>
          <w:rFonts w:ascii="仿宋_GB2312" w:eastAsia="仿宋_GB2312" w:hAnsi="宋体" w:cs="宋体" w:hint="eastAsia"/>
          <w:sz w:val="32"/>
          <w:szCs w:val="32"/>
        </w:rPr>
        <w:lastRenderedPageBreak/>
        <w:t>“生物识别信息”。</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第二条</w:t>
      </w:r>
      <w:r>
        <w:rPr>
          <w:rFonts w:ascii="黑体" w:eastAsia="黑体" w:hAnsi="宋体" w:cs="宋体" w:hint="eastAsia"/>
          <w:sz w:val="32"/>
          <w:szCs w:val="32"/>
        </w:rPr>
        <w:t xml:space="preserve">　</w:t>
      </w:r>
      <w:r>
        <w:rPr>
          <w:rFonts w:ascii="仿宋_GB2312" w:eastAsia="仿宋_GB2312" w:hAnsi="宋体" w:cs="宋体" w:hint="eastAsia"/>
          <w:sz w:val="32"/>
          <w:szCs w:val="32"/>
        </w:rPr>
        <w:t>信息处理者处理人脸信息有下列情形之一的，人民法院应当认定属于侵害自然人人格权益的行为：</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（一）在宾馆、商场、银行、车站、机场、体育场馆、娱乐场所等经营场所、公共场所违反法律、行政法规的规定使用人脸识别技术进行人脸验证、辨识或者分析；</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（二）未公开处理人脸信息的规则或者未明示处理的目的、方式、范围；</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（三）基于个人同意处理人脸信息的，未征得自然人或者其监护人的单独同意，或者未按照法律、行政法规的规定征得自然人或者其监护人的书面同意；</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（四）违反信息处理者明示或者双方约定的处理人脸信息的目的、方式、范围等；</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（五）未采取应有的技术措施或者其他必要措施确保其收集、存储的人脸信息安全，致使人脸信息泄露、篡改、丢失；</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（六）违反法律、行政法规的规定或者双方的约定，向他人提供人脸信息；</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（七）违背公序良俗处理人脸信息；</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（八）违反合法、正当、必要原则处理人脸信息的其他情形。</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第三条</w:t>
      </w:r>
      <w:r>
        <w:rPr>
          <w:rFonts w:ascii="黑体" w:eastAsia="黑体" w:hAnsi="宋体" w:cs="宋体" w:hint="eastAsia"/>
          <w:sz w:val="32"/>
          <w:szCs w:val="32"/>
        </w:rPr>
        <w:t xml:space="preserve">　</w:t>
      </w:r>
      <w:r>
        <w:rPr>
          <w:rFonts w:ascii="仿宋_GB2312" w:eastAsia="仿宋_GB2312" w:hAnsi="宋体" w:cs="宋体" w:hint="eastAsia"/>
          <w:sz w:val="32"/>
          <w:szCs w:val="32"/>
        </w:rPr>
        <w:t>人民法院认定信息处理者承担侵害自然人人格权益的民事责任，应当适用民法典第九百九十八条的规定，并结合案件具体情况综合考量受害人是否为未成年人、告知同意情况以</w:t>
      </w:r>
      <w:r>
        <w:rPr>
          <w:rFonts w:ascii="仿宋_GB2312" w:eastAsia="仿宋_GB2312" w:hAnsi="宋体" w:cs="宋体" w:hint="eastAsia"/>
          <w:sz w:val="32"/>
          <w:szCs w:val="32"/>
        </w:rPr>
        <w:lastRenderedPageBreak/>
        <w:t>及信息处理的</w:t>
      </w:r>
      <w:r>
        <w:rPr>
          <w:rFonts w:ascii="仿宋_GB2312" w:eastAsia="仿宋_GB2312" w:hAnsi="宋体" w:cs="宋体" w:hint="eastAsia"/>
          <w:sz w:val="32"/>
          <w:szCs w:val="32"/>
        </w:rPr>
        <w:t>必要程度等因素。</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第四条</w:t>
      </w:r>
      <w:r>
        <w:rPr>
          <w:rFonts w:ascii="黑体" w:eastAsia="黑体" w:hAnsi="宋体" w:cs="宋体" w:hint="eastAsia"/>
          <w:sz w:val="32"/>
          <w:szCs w:val="32"/>
        </w:rPr>
        <w:t xml:space="preserve">　</w:t>
      </w:r>
      <w:r>
        <w:rPr>
          <w:rFonts w:ascii="仿宋_GB2312" w:eastAsia="仿宋_GB2312" w:hAnsi="宋体" w:cs="宋体" w:hint="eastAsia"/>
          <w:sz w:val="32"/>
          <w:szCs w:val="32"/>
        </w:rPr>
        <w:t>有下列情形之一，信息处理者以已征得自然人或者其监护人同意为由抗辩的，人民法院不予支持：</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（一）信息处理者要求自然人同意处理其人脸信息才提供产品或者服务的，但是处理人脸信息属于提供产品或者服务所必需的除外；</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（二）信息处理者以与其他授权捆绑等方式要求自然人同意处理其人脸信息的；</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（三）强迫或者变相强迫自然人同意处理其人脸信息的其他情形。</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第五条</w:t>
      </w:r>
      <w:r>
        <w:rPr>
          <w:rFonts w:ascii="黑体" w:eastAsia="黑体" w:hAnsi="黑体" w:cs="宋体" w:hint="eastAsia"/>
          <w:sz w:val="32"/>
          <w:szCs w:val="32"/>
        </w:rPr>
        <w:t xml:space="preserve">  </w:t>
      </w:r>
      <w:r>
        <w:rPr>
          <w:rFonts w:ascii="仿宋_GB2312" w:eastAsia="仿宋_GB2312" w:hAnsi="宋体" w:cs="宋体" w:hint="eastAsia"/>
          <w:sz w:val="32"/>
          <w:szCs w:val="32"/>
        </w:rPr>
        <w:t>有下列情形之一，信息处理者主张其不承担民事责任的，人民法院依法予以支持：</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（一）为应对突发公共卫生事件，或者紧急情况下为保护自然人的生命健</w:t>
      </w:r>
      <w:r>
        <w:rPr>
          <w:rFonts w:ascii="仿宋_GB2312" w:eastAsia="仿宋_GB2312" w:hAnsi="宋体" w:cs="宋体" w:hint="eastAsia"/>
          <w:sz w:val="32"/>
          <w:szCs w:val="32"/>
        </w:rPr>
        <w:t>康和财产安全所必需而处理人脸信息的；</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（二）为维护公共安全，依据国家有关规定在公共场所使用人脸识别技术的；</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（三）为公共利益实施新闻报道、舆论监督等行为在合理的范围内处理人脸信息的；</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（四）在自然人或者其监护人同意的范围内合理处理人脸信息的；</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（五）符合法律、行政法规规定的其他情形。</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第六条　</w:t>
      </w:r>
      <w:r>
        <w:rPr>
          <w:rFonts w:ascii="仿宋_GB2312" w:eastAsia="仿宋_GB2312" w:hAnsi="宋体" w:cs="宋体" w:hint="eastAsia"/>
          <w:sz w:val="32"/>
          <w:szCs w:val="32"/>
        </w:rPr>
        <w:t>当事人请求信息处理者承担民事责任的，人民法院</w:t>
      </w:r>
      <w:r>
        <w:rPr>
          <w:rFonts w:ascii="仿宋_GB2312" w:eastAsia="仿宋_GB2312" w:hAnsi="宋体" w:cs="宋体" w:hint="eastAsia"/>
          <w:sz w:val="32"/>
          <w:szCs w:val="32"/>
        </w:rPr>
        <w:lastRenderedPageBreak/>
        <w:t>应当依据民事诉讼法第六十四条及《最高人民法院关于适用〈中华人民共和国民事诉讼法〉的解释》第九十条、第九十一条，《最高人民法院关于民事诉讼证据的若干规定》的相关规定确定双方当事</w:t>
      </w:r>
      <w:r>
        <w:rPr>
          <w:rFonts w:ascii="仿宋_GB2312" w:eastAsia="仿宋_GB2312" w:hAnsi="宋体" w:cs="宋体" w:hint="eastAsia"/>
          <w:sz w:val="32"/>
          <w:szCs w:val="32"/>
        </w:rPr>
        <w:t>人的举证责任。</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信息处理者主张其行为符合民法典第一千零三十五条第一款规定情形的，应当就此所依据的事实承担举证责任。</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信息处理者主张其不承担民事责任的，应当就其行为符合本规定第五条规定的情形承担举证责任。</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第七条</w:t>
      </w:r>
      <w:r>
        <w:rPr>
          <w:rFonts w:ascii="黑体" w:eastAsia="黑体" w:hAnsi="宋体" w:cs="宋体" w:hint="eastAsia"/>
          <w:sz w:val="32"/>
          <w:szCs w:val="32"/>
        </w:rPr>
        <w:t xml:space="preserve">　</w:t>
      </w:r>
      <w:r>
        <w:rPr>
          <w:rFonts w:ascii="仿宋_GB2312" w:eastAsia="仿宋_GB2312" w:hAnsi="宋体" w:cs="宋体" w:hint="eastAsia"/>
          <w:sz w:val="32"/>
          <w:szCs w:val="32"/>
        </w:rPr>
        <w:t>多个信息处理者处理人脸信息侵害自然人人格权益，该自然人主张多个信息处理者按照过错程度和造成损害结果的大小承担侵权责任的，人民法院依法予以支持；符合民法典第一千一百六十八条、第一千一百六十九条第一款、第一千一百七十条、第一千一百七十一条等规定的相应情形，该自然人主张多个信息处理者承担连带责任的，人民法</w:t>
      </w:r>
      <w:r>
        <w:rPr>
          <w:rFonts w:ascii="仿宋_GB2312" w:eastAsia="仿宋_GB2312" w:hAnsi="宋体" w:cs="宋体" w:hint="eastAsia"/>
          <w:sz w:val="32"/>
          <w:szCs w:val="32"/>
        </w:rPr>
        <w:t>院依法予以支持。</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信息处理者利用网络服务处理人脸信息侵害自然人人格权益的，适用民法典第一千一百九十五条、第一千一百九十六条、第一千一百九十七条等规定。</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第八条</w:t>
      </w:r>
      <w:r>
        <w:rPr>
          <w:rFonts w:ascii="黑体" w:eastAsia="黑体" w:hAnsi="宋体" w:cs="宋体" w:hint="eastAsia"/>
          <w:sz w:val="32"/>
          <w:szCs w:val="32"/>
        </w:rPr>
        <w:t xml:space="preserve">　</w:t>
      </w:r>
      <w:r>
        <w:rPr>
          <w:rFonts w:ascii="仿宋_GB2312" w:eastAsia="仿宋_GB2312" w:hAnsi="宋体" w:cs="宋体" w:hint="eastAsia"/>
          <w:sz w:val="32"/>
          <w:szCs w:val="32"/>
        </w:rPr>
        <w:t>信息处理者处理人脸信息侵害自然人人格权益造成财产损失，该自然人依据民法典第一千一百八十二条主张财产损害赔偿的，人民法院依法予以支持。</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自然人为制止侵权行为所支付的合理开支，可以认定为民法典第一千一百八十二条规定的财产损失。合理开支包括该自然人</w:t>
      </w:r>
      <w:r>
        <w:rPr>
          <w:rFonts w:ascii="仿宋_GB2312" w:eastAsia="仿宋_GB2312" w:hAnsi="宋体" w:cs="宋体" w:hint="eastAsia"/>
          <w:sz w:val="32"/>
          <w:szCs w:val="32"/>
        </w:rPr>
        <w:lastRenderedPageBreak/>
        <w:t>或者委托代理人对侵权行为进行调查、取证的合理费用。人民法院根据当事人的请求和具体案情，可以将合理的律师费用计算在赔偿范围内。</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第九条</w:t>
      </w:r>
      <w:r>
        <w:rPr>
          <w:rFonts w:ascii="黑体" w:eastAsia="黑体" w:hAnsi="宋体" w:cs="宋体" w:hint="eastAsia"/>
          <w:sz w:val="32"/>
          <w:szCs w:val="32"/>
        </w:rPr>
        <w:t xml:space="preserve">　</w:t>
      </w:r>
      <w:r>
        <w:rPr>
          <w:rFonts w:ascii="仿宋_GB2312" w:eastAsia="仿宋_GB2312" w:hAnsi="宋体" w:cs="宋体" w:hint="eastAsia"/>
          <w:sz w:val="32"/>
          <w:szCs w:val="32"/>
        </w:rPr>
        <w:t>自然人有证据证明信息处理者使用人脸识别技术正在实施或者即将实施侵害其隐私权或者其他人格权益的行为，不及时制止将使其合法权益受到难以弥补的损害，向人民法院申请采取责令信息处理者停止有关行为的措施的，人民法院可以根据案件具体情况依法作出人格权侵害禁令。</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第十条</w:t>
      </w:r>
      <w:r>
        <w:rPr>
          <w:rFonts w:ascii="黑体" w:eastAsia="黑体" w:hAnsi="宋体" w:cs="宋体" w:hint="eastAsia"/>
          <w:sz w:val="32"/>
          <w:szCs w:val="32"/>
        </w:rPr>
        <w:t xml:space="preserve">　</w:t>
      </w:r>
      <w:r>
        <w:rPr>
          <w:rFonts w:ascii="仿宋_GB2312" w:eastAsia="仿宋_GB2312" w:hAnsi="宋体" w:cs="宋体" w:hint="eastAsia"/>
          <w:sz w:val="32"/>
          <w:szCs w:val="32"/>
        </w:rPr>
        <w:t>物业服务企业</w:t>
      </w:r>
      <w:r>
        <w:rPr>
          <w:rFonts w:ascii="仿宋_GB2312" w:eastAsia="仿宋_GB2312" w:hAnsi="宋体" w:cs="宋体" w:hint="eastAsia"/>
          <w:sz w:val="32"/>
          <w:szCs w:val="32"/>
        </w:rPr>
        <w:t>或者其他建筑物管理人以人脸识别作为业主或者物业使用人出入物业服务区域的唯一验证方式，不同意的业主或者物业使用人请求其提供其他合理验证方式的，人民法院依法予以支持。</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物业服务企业或者其他建筑物管理人存在本规定第二条规定的情形，当事人请求物业服务企业或者其他建筑物管理人承担侵权责任的，人民法院依法予以支持。</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第十一条</w:t>
      </w:r>
      <w:r>
        <w:rPr>
          <w:rFonts w:ascii="黑体" w:eastAsia="黑体" w:hAnsi="宋体" w:cs="宋体" w:hint="eastAsia"/>
          <w:sz w:val="32"/>
          <w:szCs w:val="32"/>
        </w:rPr>
        <w:t xml:space="preserve">　</w:t>
      </w:r>
      <w:r>
        <w:rPr>
          <w:rFonts w:ascii="仿宋_GB2312" w:eastAsia="仿宋_GB2312" w:hAnsi="宋体" w:cs="宋体" w:hint="eastAsia"/>
          <w:sz w:val="32"/>
          <w:szCs w:val="32"/>
        </w:rPr>
        <w:t>信息处理者采用格式条款与自然人订立合同，要求自然人授予其无期限限制、不可撤销、可任意转授权等处理人脸信息的权利，该自然人依据民法典第四百九十七条请求确认格式条款无效的，人民法院依法予以支持。</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第十二条</w:t>
      </w:r>
      <w:r>
        <w:rPr>
          <w:rFonts w:ascii="黑体" w:eastAsia="黑体" w:hAnsi="宋体" w:cs="宋体" w:hint="eastAsia"/>
          <w:sz w:val="32"/>
          <w:szCs w:val="32"/>
        </w:rPr>
        <w:t xml:space="preserve">　</w:t>
      </w:r>
      <w:r>
        <w:rPr>
          <w:rFonts w:ascii="仿宋_GB2312" w:eastAsia="仿宋_GB2312" w:hAnsi="宋体" w:cs="宋体" w:hint="eastAsia"/>
          <w:sz w:val="32"/>
          <w:szCs w:val="32"/>
        </w:rPr>
        <w:t>信息处理者违反约定处理自然人的人脸信息，该自然人请求其承担违约责任的，人民法院依法予以支持。该自然人请求信息处理者承担违约责任时，请求删除人脸信息的，人民</w:t>
      </w:r>
      <w:r>
        <w:rPr>
          <w:rFonts w:ascii="仿宋_GB2312" w:eastAsia="仿宋_GB2312" w:hAnsi="宋体" w:cs="宋体" w:hint="eastAsia"/>
          <w:sz w:val="32"/>
          <w:szCs w:val="32"/>
        </w:rPr>
        <w:lastRenderedPageBreak/>
        <w:t>法院依法予以支持；信息处理者以双方未对人脸信息的删除作出约定为由抗辩的，人民法院不予支持。</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第十三条</w:t>
      </w:r>
      <w:r>
        <w:rPr>
          <w:rFonts w:ascii="黑体" w:eastAsia="黑体" w:hAnsi="宋体" w:cs="宋体" w:hint="eastAsia"/>
          <w:sz w:val="32"/>
          <w:szCs w:val="32"/>
        </w:rPr>
        <w:t xml:space="preserve">　</w:t>
      </w:r>
      <w:r>
        <w:rPr>
          <w:rFonts w:ascii="仿宋_GB2312" w:eastAsia="仿宋_GB2312" w:hAnsi="宋体" w:cs="宋体" w:hint="eastAsia"/>
          <w:sz w:val="32"/>
          <w:szCs w:val="32"/>
        </w:rPr>
        <w:t>基于同一信息处理者处理人脸信息侵害自然人人格权益发生的纠纷，多个受害人分别向同一人民法院起诉的，经当事人同意，人民法院可以合并审理。</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第十四条</w:t>
      </w:r>
      <w:r>
        <w:rPr>
          <w:rFonts w:ascii="黑体" w:eastAsia="黑体" w:hAnsi="宋体" w:cs="宋体" w:hint="eastAsia"/>
          <w:sz w:val="32"/>
          <w:szCs w:val="32"/>
        </w:rPr>
        <w:t xml:space="preserve">　</w:t>
      </w:r>
      <w:r>
        <w:rPr>
          <w:rFonts w:ascii="仿宋_GB2312" w:eastAsia="仿宋_GB2312" w:hAnsi="宋体" w:cs="宋体" w:hint="eastAsia"/>
          <w:sz w:val="32"/>
          <w:szCs w:val="32"/>
        </w:rPr>
        <w:t>信息处理者处理人脸信息的行为符合民事诉讼法第五十五条、消费者权益保护法第四十七条或者其他法律关于民事公</w:t>
      </w:r>
      <w:r>
        <w:rPr>
          <w:rFonts w:ascii="仿宋_GB2312" w:eastAsia="仿宋_GB2312" w:hAnsi="宋体" w:cs="宋体" w:hint="eastAsia"/>
          <w:sz w:val="32"/>
          <w:szCs w:val="32"/>
        </w:rPr>
        <w:t>益诉讼的相关规定，法律规定的机关和有关组织提起民事公益诉讼的，人民法院应予受理。</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第十五条</w:t>
      </w:r>
      <w:r>
        <w:rPr>
          <w:rFonts w:ascii="黑体" w:eastAsia="黑体" w:hAnsi="宋体" w:cs="宋体" w:hint="eastAsia"/>
          <w:sz w:val="32"/>
          <w:szCs w:val="32"/>
        </w:rPr>
        <w:t xml:space="preserve">　</w:t>
      </w:r>
      <w:r>
        <w:rPr>
          <w:rFonts w:ascii="仿宋_GB2312" w:eastAsia="仿宋_GB2312" w:hAnsi="宋体" w:cs="宋体" w:hint="eastAsia"/>
          <w:sz w:val="32"/>
          <w:szCs w:val="32"/>
        </w:rPr>
        <w:t>自然人死亡后，信息处理者违反法律、行政法规的规定或者双方的约定处理人脸信息，死者的近亲属依据民法典第九百九十四条请求信息处理者承担民事责任的，适用本规定。</w:t>
      </w:r>
    </w:p>
    <w:p w:rsidR="001A45D4" w:rsidRDefault="00B96C26">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第十六条</w:t>
      </w:r>
      <w:r>
        <w:rPr>
          <w:rFonts w:ascii="黑体" w:eastAsia="黑体" w:hAnsi="宋体" w:cs="宋体" w:hint="eastAsia"/>
          <w:sz w:val="32"/>
          <w:szCs w:val="32"/>
        </w:rPr>
        <w:t xml:space="preserve">　</w:t>
      </w:r>
      <w:r>
        <w:rPr>
          <w:rFonts w:ascii="仿宋_GB2312" w:eastAsia="仿宋_GB2312" w:hAnsi="宋体" w:cs="宋体" w:hint="eastAsia"/>
          <w:sz w:val="32"/>
          <w:szCs w:val="32"/>
        </w:rPr>
        <w:t>本规定自</w:t>
      </w:r>
      <w:r>
        <w:rPr>
          <w:rFonts w:ascii="仿宋_GB2312" w:eastAsia="仿宋_GB2312" w:hAnsi="宋体" w:cs="宋体" w:hint="eastAsia"/>
          <w:sz w:val="32"/>
          <w:szCs w:val="32"/>
        </w:rPr>
        <w:t>2021</w:t>
      </w:r>
      <w:r>
        <w:rPr>
          <w:rFonts w:ascii="仿宋_GB2312" w:eastAsia="仿宋_GB2312" w:hAnsi="宋体" w:cs="宋体" w:hint="eastAsia"/>
          <w:sz w:val="32"/>
          <w:szCs w:val="32"/>
        </w:rPr>
        <w:t>年</w:t>
      </w:r>
      <w:r>
        <w:rPr>
          <w:rFonts w:ascii="仿宋_GB2312" w:eastAsia="仿宋_GB2312" w:hAnsi="宋体" w:cs="宋体" w:hint="eastAsia"/>
          <w:sz w:val="32"/>
          <w:szCs w:val="32"/>
        </w:rPr>
        <w:t>8</w:t>
      </w:r>
      <w:r>
        <w:rPr>
          <w:rFonts w:ascii="仿宋_GB2312" w:eastAsia="仿宋_GB2312" w:hAnsi="宋体" w:cs="宋体" w:hint="eastAsia"/>
          <w:sz w:val="32"/>
          <w:szCs w:val="32"/>
        </w:rPr>
        <w:t>月</w:t>
      </w:r>
      <w:r>
        <w:rPr>
          <w:rFonts w:ascii="仿宋_GB2312" w:eastAsia="仿宋_GB2312" w:hAnsi="宋体" w:cs="宋体" w:hint="eastAsia"/>
          <w:sz w:val="32"/>
          <w:szCs w:val="32"/>
        </w:rPr>
        <w:t>1</w:t>
      </w:r>
      <w:r>
        <w:rPr>
          <w:rFonts w:ascii="仿宋_GB2312" w:eastAsia="仿宋_GB2312" w:hAnsi="宋体" w:cs="宋体" w:hint="eastAsia"/>
          <w:sz w:val="32"/>
          <w:szCs w:val="32"/>
        </w:rPr>
        <w:t>日起施行。</w:t>
      </w:r>
    </w:p>
    <w:p w:rsidR="001A45D4" w:rsidRDefault="00B96C26">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信息处理者使用人脸识别技术处理人脸信息、处理基于人脸识别技术生成的人脸信息的行为发生在本规定施行前的，不适用本规定。</w:t>
      </w:r>
    </w:p>
    <w:p w:rsidR="001A45D4" w:rsidRDefault="001A45D4">
      <w:pPr>
        <w:pStyle w:val="a3"/>
        <w:spacing w:line="560" w:lineRule="exact"/>
        <w:ind w:firstLineChars="200" w:firstLine="640"/>
        <w:rPr>
          <w:rFonts w:ascii="仿宋_GB2312" w:eastAsia="仿宋_GB2312" w:hAnsi="宋体" w:cs="宋体"/>
          <w:sz w:val="32"/>
          <w:szCs w:val="32"/>
        </w:rPr>
      </w:pPr>
    </w:p>
    <w:sectPr w:rsidR="001A45D4">
      <w:footerReference w:type="even" r:id="rId8"/>
      <w:footerReference w:type="default" r:id="rId9"/>
      <w:pgSz w:w="11906" w:h="16838"/>
      <w:pgMar w:top="2098" w:right="1474" w:bottom="1984" w:left="1588"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C26" w:rsidRDefault="00B96C26">
      <w:r>
        <w:separator/>
      </w:r>
    </w:p>
  </w:endnote>
  <w:endnote w:type="continuationSeparator" w:id="0">
    <w:p w:rsidR="00B96C26" w:rsidRDefault="00B96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5D4" w:rsidRDefault="00B96C26">
    <w:pPr>
      <w:pStyle w:val="a5"/>
      <w:ind w:right="360" w:firstLine="360"/>
    </w:pPr>
    <w:r>
      <w:pict>
        <v:shapetype id="_x0000_t202" coordsize="21600,21600" o:spt="202" path="m,l,21600r21600,l21600,xe">
          <v:stroke joinstyle="miter"/>
          <v:path gradientshapeok="t" o:connecttype="rect"/>
        </v:shapetype>
        <v:shape id="_x0000_s3074" type="#_x0000_t202" style="position:absolute;left:0;text-align:left;margin-left:0;margin-top:-6pt;width:2in;height:2in;z-index:251659264;mso-wrap-style:none;mso-position-horizontal-relative:margin;mso-width-relative:page;mso-height-relative:page" filled="f" stroked="f">
          <v:textbox style="mso-fit-shape-to-text:t" inset="0,0,0,0">
            <w:txbxContent>
              <w:p w:rsidR="001A45D4" w:rsidRDefault="00B96C26">
                <w:pPr>
                  <w:pStyle w:val="a5"/>
                  <w:rPr>
                    <w:rStyle w:val="a7"/>
                  </w:rPr>
                </w:pPr>
                <w:r>
                  <w:rPr>
                    <w:rStyle w:val="a7"/>
                    <w:rFonts w:ascii="宋体" w:hAnsi="宋体" w:cs="宋体" w:hint="eastAsia"/>
                    <w:sz w:val="28"/>
                    <w:szCs w:val="28"/>
                  </w:rPr>
                  <w:fldChar w:fldCharType="begin"/>
                </w:r>
                <w:r>
                  <w:rPr>
                    <w:rStyle w:val="a7"/>
                    <w:rFonts w:ascii="宋体" w:hAnsi="宋体" w:cs="宋体" w:hint="eastAsia"/>
                    <w:sz w:val="28"/>
                    <w:szCs w:val="28"/>
                  </w:rPr>
                  <w:instrText xml:space="preserve">PAGE  </w:instrText>
                </w:r>
                <w:r w:rsidR="00CF3644">
                  <w:rPr>
                    <w:rStyle w:val="a7"/>
                    <w:rFonts w:ascii="宋体" w:hAnsi="宋体" w:cs="宋体"/>
                    <w:sz w:val="28"/>
                    <w:szCs w:val="28"/>
                  </w:rPr>
                  <w:fldChar w:fldCharType="separate"/>
                </w:r>
                <w:r w:rsidR="00CF3644">
                  <w:rPr>
                    <w:rStyle w:val="a7"/>
                    <w:rFonts w:ascii="宋体" w:hAnsi="宋体" w:cs="宋体"/>
                    <w:noProof/>
                    <w:sz w:val="28"/>
                    <w:szCs w:val="28"/>
                  </w:rPr>
                  <w:t>- 2 -</w:t>
                </w:r>
                <w:r>
                  <w:rPr>
                    <w:rStyle w:val="a7"/>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5D4" w:rsidRDefault="00B96C26">
    <w:pPr>
      <w:pStyle w:val="a5"/>
      <w:ind w:right="360"/>
    </w:pPr>
    <w:r>
      <w:pict>
        <v:shapetype id="_x0000_t202" coordsize="21600,21600" o:spt="202" path="m,l,21600r21600,l21600,xe">
          <v:stroke joinstyle="miter"/>
          <v:path gradientshapeok="t" o:connecttype="rect"/>
        </v:shapetype>
        <v:shape id="_x0000_s3073" type="#_x0000_t202" style="position:absolute;margin-left:407.2pt;margin-top:-6pt;width:2in;height:2in;z-index:251658240;mso-wrap-style:none;mso-position-horizontal-relative:margin;mso-width-relative:page;mso-height-relative:page" filled="f" stroked="f">
          <v:textbox style="mso-fit-shape-to-text:t" inset="0,0,0,0">
            <w:txbxContent>
              <w:p w:rsidR="001A45D4" w:rsidRDefault="00B96C26">
                <w:pPr>
                  <w:pStyle w:val="a5"/>
                  <w:rPr>
                    <w:rStyle w:val="a7"/>
                    <w:rFonts w:ascii="宋体" w:hAnsi="宋体" w:cs="宋体"/>
                    <w:sz w:val="28"/>
                  </w:rPr>
                </w:pPr>
                <w:r>
                  <w:rPr>
                    <w:rStyle w:val="a7"/>
                    <w:rFonts w:ascii="宋体" w:hAnsi="宋体" w:cs="宋体" w:hint="eastAsia"/>
                    <w:sz w:val="28"/>
                  </w:rPr>
                  <w:fldChar w:fldCharType="begin"/>
                </w:r>
                <w:r>
                  <w:rPr>
                    <w:rStyle w:val="a7"/>
                    <w:rFonts w:ascii="宋体" w:hAnsi="宋体" w:cs="宋体" w:hint="eastAsia"/>
                    <w:sz w:val="28"/>
                  </w:rPr>
                  <w:instrText xml:space="preserve">PAGE  </w:instrText>
                </w:r>
                <w:r>
                  <w:rPr>
                    <w:rStyle w:val="a7"/>
                    <w:rFonts w:ascii="宋体" w:hAnsi="宋体" w:cs="宋体" w:hint="eastAsia"/>
                    <w:sz w:val="28"/>
                  </w:rPr>
                  <w:fldChar w:fldCharType="separate"/>
                </w:r>
                <w:r w:rsidR="00CF3644">
                  <w:rPr>
                    <w:rStyle w:val="a7"/>
                    <w:rFonts w:ascii="宋体" w:hAnsi="宋体" w:cs="宋体"/>
                    <w:noProof/>
                    <w:sz w:val="28"/>
                  </w:rPr>
                  <w:t>- 1 -</w:t>
                </w:r>
                <w:r>
                  <w:rPr>
                    <w:rStyle w:val="a7"/>
                    <w:rFonts w:ascii="宋体" w:hAnsi="宋体" w:cs="宋体"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C26" w:rsidRDefault="00B96C26">
      <w:r>
        <w:separator/>
      </w:r>
    </w:p>
  </w:footnote>
  <w:footnote w:type="continuationSeparator" w:id="0">
    <w:p w:rsidR="00B96C26" w:rsidRDefault="00B96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154E"/>
    <w:rsid w:val="00092662"/>
    <w:rsid w:val="00093500"/>
    <w:rsid w:val="00094871"/>
    <w:rsid w:val="000A67EC"/>
    <w:rsid w:val="000B1F15"/>
    <w:rsid w:val="000B47FF"/>
    <w:rsid w:val="000C4793"/>
    <w:rsid w:val="000D35F0"/>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35979"/>
    <w:rsid w:val="00141FB6"/>
    <w:rsid w:val="00156266"/>
    <w:rsid w:val="001614DD"/>
    <w:rsid w:val="001617A2"/>
    <w:rsid w:val="00162880"/>
    <w:rsid w:val="0016489F"/>
    <w:rsid w:val="0016665A"/>
    <w:rsid w:val="00170A71"/>
    <w:rsid w:val="00174FB6"/>
    <w:rsid w:val="00182BD9"/>
    <w:rsid w:val="001A45D4"/>
    <w:rsid w:val="001A7520"/>
    <w:rsid w:val="001B131A"/>
    <w:rsid w:val="001B153F"/>
    <w:rsid w:val="001B6523"/>
    <w:rsid w:val="001D4E14"/>
    <w:rsid w:val="001D5662"/>
    <w:rsid w:val="001E1AB1"/>
    <w:rsid w:val="001F6C7B"/>
    <w:rsid w:val="002064F7"/>
    <w:rsid w:val="00206B2B"/>
    <w:rsid w:val="00216280"/>
    <w:rsid w:val="0021638E"/>
    <w:rsid w:val="002216B9"/>
    <w:rsid w:val="002266C5"/>
    <w:rsid w:val="0023259F"/>
    <w:rsid w:val="00233F94"/>
    <w:rsid w:val="00235183"/>
    <w:rsid w:val="00241E35"/>
    <w:rsid w:val="002428F9"/>
    <w:rsid w:val="002518C7"/>
    <w:rsid w:val="0025742F"/>
    <w:rsid w:val="002671B1"/>
    <w:rsid w:val="00271C80"/>
    <w:rsid w:val="002763B3"/>
    <w:rsid w:val="00277543"/>
    <w:rsid w:val="00281EEF"/>
    <w:rsid w:val="0028710F"/>
    <w:rsid w:val="00296001"/>
    <w:rsid w:val="002A0E27"/>
    <w:rsid w:val="002A0E47"/>
    <w:rsid w:val="002A1765"/>
    <w:rsid w:val="002A1BB0"/>
    <w:rsid w:val="002A7E25"/>
    <w:rsid w:val="002B5E8C"/>
    <w:rsid w:val="002C11D2"/>
    <w:rsid w:val="002D285F"/>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4F569D"/>
    <w:rsid w:val="00506C84"/>
    <w:rsid w:val="00512E73"/>
    <w:rsid w:val="005142A1"/>
    <w:rsid w:val="00517CAB"/>
    <w:rsid w:val="00536EBF"/>
    <w:rsid w:val="0053713F"/>
    <w:rsid w:val="005433C2"/>
    <w:rsid w:val="005502F2"/>
    <w:rsid w:val="00562083"/>
    <w:rsid w:val="0057423C"/>
    <w:rsid w:val="0058350A"/>
    <w:rsid w:val="00586344"/>
    <w:rsid w:val="00594376"/>
    <w:rsid w:val="005A56F6"/>
    <w:rsid w:val="005A6C12"/>
    <w:rsid w:val="005C1972"/>
    <w:rsid w:val="005C35C0"/>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E1FF4"/>
    <w:rsid w:val="006E7630"/>
    <w:rsid w:val="006F0A7E"/>
    <w:rsid w:val="006F6FC3"/>
    <w:rsid w:val="006F7D77"/>
    <w:rsid w:val="00715180"/>
    <w:rsid w:val="00720A73"/>
    <w:rsid w:val="00720CAF"/>
    <w:rsid w:val="00722ED9"/>
    <w:rsid w:val="00724377"/>
    <w:rsid w:val="007276B4"/>
    <w:rsid w:val="00733E0F"/>
    <w:rsid w:val="00741ACA"/>
    <w:rsid w:val="00745D25"/>
    <w:rsid w:val="007506EE"/>
    <w:rsid w:val="0075447F"/>
    <w:rsid w:val="00754A2D"/>
    <w:rsid w:val="007643CE"/>
    <w:rsid w:val="00766157"/>
    <w:rsid w:val="00767F68"/>
    <w:rsid w:val="00771E84"/>
    <w:rsid w:val="0077490A"/>
    <w:rsid w:val="007775EF"/>
    <w:rsid w:val="007A51E0"/>
    <w:rsid w:val="007A6544"/>
    <w:rsid w:val="007A7FD3"/>
    <w:rsid w:val="007B2410"/>
    <w:rsid w:val="007C01D1"/>
    <w:rsid w:val="007C5705"/>
    <w:rsid w:val="007D13B8"/>
    <w:rsid w:val="007D2E57"/>
    <w:rsid w:val="007D77CE"/>
    <w:rsid w:val="007D7802"/>
    <w:rsid w:val="007E3C61"/>
    <w:rsid w:val="00802CDC"/>
    <w:rsid w:val="00805E1D"/>
    <w:rsid w:val="00813FEC"/>
    <w:rsid w:val="00814E29"/>
    <w:rsid w:val="00823C1E"/>
    <w:rsid w:val="00826D77"/>
    <w:rsid w:val="0083338D"/>
    <w:rsid w:val="008377B4"/>
    <w:rsid w:val="00857DBC"/>
    <w:rsid w:val="008701AB"/>
    <w:rsid w:val="0087139A"/>
    <w:rsid w:val="00877798"/>
    <w:rsid w:val="008802DB"/>
    <w:rsid w:val="00881967"/>
    <w:rsid w:val="00884D26"/>
    <w:rsid w:val="00885F48"/>
    <w:rsid w:val="00890F76"/>
    <w:rsid w:val="0089274E"/>
    <w:rsid w:val="008A08FA"/>
    <w:rsid w:val="008C663E"/>
    <w:rsid w:val="008E70E5"/>
    <w:rsid w:val="008F50DB"/>
    <w:rsid w:val="008F5238"/>
    <w:rsid w:val="008F7723"/>
    <w:rsid w:val="00904BC8"/>
    <w:rsid w:val="00911248"/>
    <w:rsid w:val="00913A4E"/>
    <w:rsid w:val="00925F75"/>
    <w:rsid w:val="009273E3"/>
    <w:rsid w:val="00927D41"/>
    <w:rsid w:val="009621F2"/>
    <w:rsid w:val="00971108"/>
    <w:rsid w:val="0097410F"/>
    <w:rsid w:val="00974280"/>
    <w:rsid w:val="00974393"/>
    <w:rsid w:val="0097704C"/>
    <w:rsid w:val="00986E71"/>
    <w:rsid w:val="00992211"/>
    <w:rsid w:val="009942EB"/>
    <w:rsid w:val="009A1862"/>
    <w:rsid w:val="009A5178"/>
    <w:rsid w:val="009A78E1"/>
    <w:rsid w:val="009A7FCF"/>
    <w:rsid w:val="009B548C"/>
    <w:rsid w:val="009C6F84"/>
    <w:rsid w:val="009D18B6"/>
    <w:rsid w:val="009E6F62"/>
    <w:rsid w:val="009E7F86"/>
    <w:rsid w:val="009F1030"/>
    <w:rsid w:val="009F1B6D"/>
    <w:rsid w:val="00A02039"/>
    <w:rsid w:val="00A04BD7"/>
    <w:rsid w:val="00A20EDD"/>
    <w:rsid w:val="00A212C7"/>
    <w:rsid w:val="00A23406"/>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96C26"/>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5BE4"/>
    <w:rsid w:val="00CA3B61"/>
    <w:rsid w:val="00CB05CD"/>
    <w:rsid w:val="00CB268F"/>
    <w:rsid w:val="00CB69A2"/>
    <w:rsid w:val="00CD046D"/>
    <w:rsid w:val="00CD15F8"/>
    <w:rsid w:val="00CD207F"/>
    <w:rsid w:val="00CF0128"/>
    <w:rsid w:val="00CF0812"/>
    <w:rsid w:val="00CF245A"/>
    <w:rsid w:val="00CF3644"/>
    <w:rsid w:val="00CF41FE"/>
    <w:rsid w:val="00CF4321"/>
    <w:rsid w:val="00CF5E94"/>
    <w:rsid w:val="00CF7BE1"/>
    <w:rsid w:val="00D0443A"/>
    <w:rsid w:val="00D07F94"/>
    <w:rsid w:val="00D16B69"/>
    <w:rsid w:val="00D21DEB"/>
    <w:rsid w:val="00D3514F"/>
    <w:rsid w:val="00D5052C"/>
    <w:rsid w:val="00D6266A"/>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6A87"/>
    <w:rsid w:val="00E56E52"/>
    <w:rsid w:val="00E715B9"/>
    <w:rsid w:val="00E854B0"/>
    <w:rsid w:val="00E9403C"/>
    <w:rsid w:val="00E956E5"/>
    <w:rsid w:val="00E95DF8"/>
    <w:rsid w:val="00E97496"/>
    <w:rsid w:val="00EA5BBC"/>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D5E51"/>
    <w:rsid w:val="00FF3205"/>
    <w:rsid w:val="00FF3EE4"/>
    <w:rsid w:val="00FF402A"/>
    <w:rsid w:val="00FF690A"/>
    <w:rsid w:val="025E3EC5"/>
    <w:rsid w:val="07040DC3"/>
    <w:rsid w:val="08903EE8"/>
    <w:rsid w:val="1CF8323E"/>
    <w:rsid w:val="2F5A34B7"/>
    <w:rsid w:val="707135EE"/>
    <w:rsid w:val="7EB15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1"/>
    </o:shapelayout>
  </w:shapeDefaults>
  <w:decimalSymbol w:val="."/>
  <w:listSeparator w:val=","/>
  <w15:docId w15:val="{72D690D5-0C92-46EE-A7BE-6914A0B6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cs="Courier New"/>
      <w:szCs w:val="21"/>
    </w:rPr>
  </w:style>
  <w:style w:type="paragraph" w:styleId="a4">
    <w:name w:val="Balloon Text"/>
    <w:basedOn w:val="a"/>
    <w:link w:val="Char0"/>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paragraph" w:customStyle="1" w:styleId="ParaCharCharCharCharCharCharChar">
    <w:name w:val="默认段落字体 Para Char Char Char Char Char Char Char"/>
    <w:basedOn w:val="a"/>
    <w:qFormat/>
  </w:style>
  <w:style w:type="character" w:customStyle="1" w:styleId="Char1">
    <w:name w:val="页眉 Char"/>
    <w:basedOn w:val="a0"/>
    <w:link w:val="a6"/>
    <w:qFormat/>
    <w:rPr>
      <w:kern w:val="2"/>
      <w:sz w:val="18"/>
      <w:szCs w:val="18"/>
    </w:rPr>
  </w:style>
  <w:style w:type="character" w:customStyle="1" w:styleId="Char0">
    <w:name w:val="批注框文本 Char"/>
    <w:basedOn w:val="a0"/>
    <w:link w:val="a4"/>
    <w:qFormat/>
    <w:rPr>
      <w:kern w:val="2"/>
      <w:sz w:val="18"/>
      <w:szCs w:val="18"/>
    </w:rPr>
  </w:style>
  <w:style w:type="character" w:customStyle="1" w:styleId="Char">
    <w:name w:val="纯文本 Char"/>
    <w:basedOn w:val="a0"/>
    <w:link w:val="a3"/>
    <w:uiPriority w:val="99"/>
    <w:qFormat/>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947356-8F7E-47B3-BD78-3A627746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412</Words>
  <Characters>2352</Characters>
  <Application>Microsoft Office Word</Application>
  <DocSecurity>0</DocSecurity>
  <Lines>19</Lines>
  <Paragraphs>5</Paragraphs>
  <ScaleCrop>false</ScaleCrop>
  <Company>Lenovo (Beijing) Limited</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梁姝</cp:lastModifiedBy>
  <cp:revision>9</cp:revision>
  <cp:lastPrinted>2014-04-03T09:04:00Z</cp:lastPrinted>
  <dcterms:created xsi:type="dcterms:W3CDTF">2021-07-27T08:22:00Z</dcterms:created>
  <dcterms:modified xsi:type="dcterms:W3CDTF">2021-11-11T06:30:00Z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71B15A0297E0468A9986E96180F61D14</vt:lpwstr>
  </property>
</Properties>
</file>