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42D" w:rsidRDefault="009D142D">
      <w:pPr>
        <w:spacing w:line="560" w:lineRule="exact"/>
        <w:ind w:firstLineChars="200" w:firstLine="640"/>
        <w:rPr>
          <w:rFonts w:ascii="仿宋_GB2312" w:eastAsia="仿宋_GB2312" w:hAnsi="仿宋_GB2312" w:cs="仿宋_GB2312"/>
          <w:sz w:val="32"/>
          <w:szCs w:val="32"/>
        </w:rPr>
      </w:pPr>
      <w:bookmarkStart w:id="0" w:name="_GoBack"/>
      <w:bookmarkEnd w:id="0"/>
    </w:p>
    <w:p w:rsidR="009D142D" w:rsidRDefault="009D142D">
      <w:pPr>
        <w:spacing w:line="560" w:lineRule="exact"/>
        <w:ind w:firstLineChars="200" w:firstLine="640"/>
        <w:rPr>
          <w:rFonts w:ascii="仿宋_GB2312" w:eastAsia="仿宋_GB2312" w:hAnsi="仿宋_GB2312" w:cs="仿宋_GB2312"/>
          <w:sz w:val="32"/>
          <w:szCs w:val="32"/>
        </w:rPr>
      </w:pPr>
    </w:p>
    <w:p w:rsidR="009D142D" w:rsidRDefault="000A65A5">
      <w:pPr>
        <w:spacing w:line="560" w:lineRule="exact"/>
        <w:jc w:val="center"/>
        <w:rPr>
          <w:rFonts w:ascii="宋体" w:hAnsi="宋体" w:cs="宋体"/>
          <w:sz w:val="44"/>
          <w:szCs w:val="44"/>
        </w:rPr>
      </w:pPr>
      <w:r>
        <w:rPr>
          <w:rFonts w:ascii="宋体" w:hAnsi="宋体" w:cs="宋体" w:hint="eastAsia"/>
          <w:sz w:val="44"/>
          <w:szCs w:val="44"/>
        </w:rPr>
        <w:t>最高人民法院</w:t>
      </w:r>
    </w:p>
    <w:p w:rsidR="009D142D" w:rsidRDefault="000A65A5">
      <w:pPr>
        <w:spacing w:line="560" w:lineRule="exact"/>
        <w:jc w:val="center"/>
        <w:rPr>
          <w:rFonts w:ascii="宋体" w:hAnsi="宋体" w:cs="宋体"/>
          <w:sz w:val="44"/>
          <w:szCs w:val="44"/>
        </w:rPr>
      </w:pPr>
      <w:r>
        <w:rPr>
          <w:rFonts w:ascii="宋体" w:hAnsi="宋体" w:cs="宋体" w:hint="eastAsia"/>
          <w:sz w:val="44"/>
          <w:szCs w:val="44"/>
        </w:rPr>
        <w:t>关于审理国家赔偿案件确定精神损害</w:t>
      </w:r>
    </w:p>
    <w:p w:rsidR="009D142D" w:rsidRDefault="000A65A5">
      <w:pPr>
        <w:jc w:val="center"/>
        <w:rPr>
          <w:rFonts w:ascii="宋体" w:hAnsi="宋体" w:cs="宋体"/>
          <w:sz w:val="44"/>
          <w:szCs w:val="44"/>
        </w:rPr>
      </w:pPr>
      <w:r>
        <w:rPr>
          <w:rFonts w:ascii="宋体" w:hAnsi="宋体" w:cs="宋体" w:hint="eastAsia"/>
          <w:sz w:val="44"/>
          <w:szCs w:val="44"/>
        </w:rPr>
        <w:t>赔偿责任适用法律若干问题的解释</w:t>
      </w:r>
    </w:p>
    <w:p w:rsidR="009D142D" w:rsidRDefault="009D142D">
      <w:pPr>
        <w:pStyle w:val="a3"/>
        <w:spacing w:line="520" w:lineRule="exact"/>
        <w:jc w:val="center"/>
        <w:rPr>
          <w:rFonts w:ascii="仿宋" w:eastAsia="仿宋" w:hAnsi="仿宋" w:cs="仿宋"/>
          <w:sz w:val="32"/>
          <w:szCs w:val="32"/>
        </w:rPr>
      </w:pPr>
    </w:p>
    <w:p w:rsidR="009D142D" w:rsidRDefault="000A65A5">
      <w:pPr>
        <w:pStyle w:val="a3"/>
        <w:spacing w:line="520" w:lineRule="exact"/>
        <w:jc w:val="center"/>
        <w:rPr>
          <w:rFonts w:ascii="仿宋_GB2312" w:eastAsia="楷体_GB2312" w:hAnsi="仿宋_GB2312" w:cs="仿宋_GB2312"/>
          <w:sz w:val="32"/>
          <w:szCs w:val="32"/>
        </w:rPr>
      </w:pPr>
      <w:r>
        <w:rPr>
          <w:rFonts w:ascii="仿宋_GB2312" w:eastAsia="楷体_GB2312" w:hAnsi="仿宋_GB2312" w:cs="仿宋_GB2312" w:hint="eastAsia"/>
          <w:sz w:val="32"/>
          <w:szCs w:val="32"/>
        </w:rPr>
        <w:t>法释〔</w:t>
      </w:r>
      <w:r>
        <w:rPr>
          <w:rFonts w:ascii="仿宋_GB2312" w:eastAsia="楷体_GB2312" w:hAnsi="仿宋_GB2312" w:cs="仿宋_GB2312" w:hint="eastAsia"/>
          <w:sz w:val="32"/>
          <w:szCs w:val="32"/>
        </w:rPr>
        <w:t>2021</w:t>
      </w:r>
      <w:r>
        <w:rPr>
          <w:rFonts w:ascii="仿宋_GB2312" w:eastAsia="楷体_GB2312" w:hAnsi="仿宋_GB2312" w:cs="仿宋_GB2312" w:hint="eastAsia"/>
          <w:sz w:val="32"/>
          <w:szCs w:val="32"/>
        </w:rPr>
        <w:t>〕</w:t>
      </w:r>
      <w:r>
        <w:rPr>
          <w:rFonts w:ascii="仿宋_GB2312" w:eastAsia="楷体_GB2312" w:hAnsi="仿宋_GB2312" w:cs="仿宋_GB2312" w:hint="eastAsia"/>
          <w:sz w:val="32"/>
          <w:szCs w:val="32"/>
        </w:rPr>
        <w:t>3</w:t>
      </w:r>
      <w:r>
        <w:rPr>
          <w:rFonts w:ascii="仿宋_GB2312" w:eastAsia="楷体_GB2312" w:hAnsi="仿宋_GB2312" w:cs="仿宋_GB2312" w:hint="eastAsia"/>
          <w:sz w:val="32"/>
          <w:szCs w:val="32"/>
        </w:rPr>
        <w:t>号</w:t>
      </w:r>
    </w:p>
    <w:p w:rsidR="009D142D" w:rsidRDefault="009D142D">
      <w:pPr>
        <w:pStyle w:val="a3"/>
        <w:spacing w:line="520" w:lineRule="exact"/>
        <w:rPr>
          <w:rFonts w:ascii="仿宋" w:eastAsia="仿宋" w:hAnsi="仿宋" w:cs="仿宋"/>
          <w:sz w:val="32"/>
          <w:szCs w:val="32"/>
        </w:rPr>
      </w:pP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为正确适用《中华人民共和国国家赔偿法》有关规定，合理确定精神损害赔偿责任，结合国家赔偿审判实际，制定本解释。</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第一条</w:t>
      </w:r>
      <w:r>
        <w:rPr>
          <w:rFonts w:ascii="仿宋" w:eastAsia="仿宋" w:hAnsi="仿宋" w:cs="仿宋" w:hint="eastAsia"/>
          <w:sz w:val="32"/>
          <w:szCs w:val="32"/>
        </w:rPr>
        <w:t xml:space="preserve">  </w:t>
      </w:r>
      <w:r>
        <w:rPr>
          <w:rFonts w:ascii="仿宋" w:eastAsia="仿宋" w:hAnsi="仿宋" w:cs="仿宋" w:hint="eastAsia"/>
          <w:sz w:val="32"/>
          <w:szCs w:val="32"/>
        </w:rPr>
        <w:t>公民以人身权受到侵犯为由提出国家赔偿申请，依照国家赔偿法第三十五条的规定请求精神损害赔偿的，适用本解释。</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法人或者非法人组织请求精神损害赔偿的，人民法院不予受理。</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第二条</w:t>
      </w:r>
      <w:r>
        <w:rPr>
          <w:rFonts w:ascii="仿宋" w:eastAsia="仿宋" w:hAnsi="仿宋" w:cs="仿宋" w:hint="eastAsia"/>
          <w:sz w:val="32"/>
          <w:szCs w:val="32"/>
        </w:rPr>
        <w:t xml:space="preserve">  </w:t>
      </w:r>
      <w:r>
        <w:rPr>
          <w:rFonts w:ascii="仿宋" w:eastAsia="仿宋" w:hAnsi="仿宋" w:cs="仿宋" w:hint="eastAsia"/>
          <w:sz w:val="32"/>
          <w:szCs w:val="32"/>
        </w:rPr>
        <w:t>公民以人身权受到侵犯为由提出国家赔偿申请，未请求精神损害赔偿，或者未同时请求消除影响、恢复名誉、赔礼道歉以及精神损害抚慰金的，人民法院应当向其释明。经释明后不变更请求，案件审结后又基于同一侵权事实另行提出申请的，人民法院不予受理。</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第三条</w:t>
      </w:r>
      <w:r>
        <w:rPr>
          <w:rFonts w:ascii="仿宋" w:eastAsia="仿宋" w:hAnsi="仿宋" w:cs="仿宋" w:hint="eastAsia"/>
          <w:sz w:val="32"/>
          <w:szCs w:val="32"/>
        </w:rPr>
        <w:t xml:space="preserve">  </w:t>
      </w:r>
      <w:r>
        <w:rPr>
          <w:rFonts w:ascii="仿宋" w:eastAsia="仿宋" w:hAnsi="仿宋" w:cs="仿宋" w:hint="eastAsia"/>
          <w:sz w:val="32"/>
          <w:szCs w:val="32"/>
        </w:rPr>
        <w:t>赔偿义务机关有国家赔偿法第三条、第十七条规定情形之一，依法应当承担国家赔偿责任的，可以同时认</w:t>
      </w:r>
      <w:r>
        <w:rPr>
          <w:rFonts w:ascii="仿宋" w:eastAsia="仿宋" w:hAnsi="仿宋" w:cs="仿宋" w:hint="eastAsia"/>
          <w:sz w:val="32"/>
          <w:szCs w:val="32"/>
        </w:rPr>
        <w:t>定该侵权行为致人精神损害。但是赔偿义务机关有证据证明该公民不存在精神损害，或者认定精神损害违背公序良俗的除外。</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lastRenderedPageBreak/>
        <w:t>第四条</w:t>
      </w:r>
      <w:r>
        <w:rPr>
          <w:rFonts w:ascii="仿宋" w:eastAsia="仿宋" w:hAnsi="仿宋" w:cs="仿宋" w:hint="eastAsia"/>
          <w:sz w:val="32"/>
          <w:szCs w:val="32"/>
        </w:rPr>
        <w:t xml:space="preserve">  </w:t>
      </w:r>
      <w:r>
        <w:rPr>
          <w:rFonts w:ascii="仿宋" w:eastAsia="仿宋" w:hAnsi="仿宋" w:cs="仿宋" w:hint="eastAsia"/>
          <w:sz w:val="32"/>
          <w:szCs w:val="32"/>
        </w:rPr>
        <w:t>侵权行为致人精神损害，应当为受害人消除影响、恢复名誉或者赔礼道歉；侵权行为致人精神损害并造成严重后果，应当在支付精神损害抚慰金的同时，视案件具体情形，为受害人消除影响、恢复名誉或者赔礼道歉。</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消除影响、恢复名誉与赔礼道歉，可以单独适用，也可以合并适用，并应当与侵权行为的具体方式和造成的影响范围相当。</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第五条</w:t>
      </w:r>
      <w:r>
        <w:rPr>
          <w:rFonts w:ascii="仿宋" w:eastAsia="仿宋" w:hAnsi="仿宋" w:cs="仿宋" w:hint="eastAsia"/>
          <w:sz w:val="32"/>
          <w:szCs w:val="32"/>
        </w:rPr>
        <w:t xml:space="preserve">  </w:t>
      </w:r>
      <w:r>
        <w:rPr>
          <w:rFonts w:ascii="仿宋" w:eastAsia="仿宋" w:hAnsi="仿宋" w:cs="仿宋" w:hint="eastAsia"/>
          <w:sz w:val="32"/>
          <w:szCs w:val="32"/>
        </w:rPr>
        <w:t>人民法院可以根据案件具体情况，组织赔偿请求人与赔偿义务机关就消除影响、恢复名誉</w:t>
      </w:r>
      <w:r>
        <w:rPr>
          <w:rFonts w:ascii="仿宋" w:eastAsia="仿宋" w:hAnsi="仿宋" w:cs="仿宋" w:hint="eastAsia"/>
          <w:sz w:val="32"/>
          <w:szCs w:val="32"/>
        </w:rPr>
        <w:t>或者赔礼道歉的具体方式进行协商。</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协商不成作出决定的，应当采用下列方式：</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（一）在受害人住所地或者所在单位发布相关信息；</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（二）在侵权行为直接影响范围内的媒体上予以报道；</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（三）赔偿义务机关有关负责人向赔偿请求人赔礼道歉。</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第六条</w:t>
      </w:r>
      <w:r>
        <w:rPr>
          <w:rFonts w:ascii="仿宋" w:eastAsia="仿宋" w:hAnsi="仿宋" w:cs="仿宋" w:hint="eastAsia"/>
          <w:sz w:val="32"/>
          <w:szCs w:val="32"/>
        </w:rPr>
        <w:t xml:space="preserve">  </w:t>
      </w:r>
      <w:r>
        <w:rPr>
          <w:rFonts w:ascii="仿宋" w:eastAsia="仿宋" w:hAnsi="仿宋" w:cs="仿宋" w:hint="eastAsia"/>
          <w:sz w:val="32"/>
          <w:szCs w:val="32"/>
        </w:rPr>
        <w:t>决定为受害人消除影响、恢复名誉或者赔礼道歉的，应当载入决定主文。</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赔偿义务机关在决定作出前已为受害人消除影响、恢复名誉或者赔礼道歉，或者原侵权案件的纠正被媒体广泛报道，客观上已经起到消除影响、恢复名誉作用，且符合本解释规定的，可以在决定书中予以说明。</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第七条</w:t>
      </w:r>
      <w:r>
        <w:rPr>
          <w:rFonts w:ascii="仿宋" w:eastAsia="仿宋" w:hAnsi="仿宋" w:cs="仿宋" w:hint="eastAsia"/>
          <w:sz w:val="32"/>
          <w:szCs w:val="32"/>
        </w:rPr>
        <w:t xml:space="preserve">  </w:t>
      </w:r>
      <w:r>
        <w:rPr>
          <w:rFonts w:ascii="仿宋" w:eastAsia="仿宋" w:hAnsi="仿宋" w:cs="仿宋" w:hint="eastAsia"/>
          <w:sz w:val="32"/>
          <w:szCs w:val="32"/>
        </w:rPr>
        <w:t>有下列情形之一的</w:t>
      </w:r>
      <w:r>
        <w:rPr>
          <w:rFonts w:ascii="仿宋" w:eastAsia="仿宋" w:hAnsi="仿宋" w:cs="仿宋" w:hint="eastAsia"/>
          <w:sz w:val="32"/>
          <w:szCs w:val="32"/>
        </w:rPr>
        <w:t>，可以认定为国家赔偿法第三十五条规定的“造成严重后果”：</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（一）无罪或者终止追究刑事责任的人被羁押六个月以上；</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（二）受害人经鉴定为轻伤以上或者残疾；</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（三）受害人经诊断、鉴定为精神障碍或者精神残疾，</w:t>
      </w:r>
      <w:r>
        <w:rPr>
          <w:rFonts w:ascii="仿宋" w:eastAsia="仿宋" w:hAnsi="仿宋" w:cs="仿宋" w:hint="eastAsia"/>
          <w:sz w:val="32"/>
          <w:szCs w:val="32"/>
        </w:rPr>
        <w:lastRenderedPageBreak/>
        <w:t>且与侵权行为存在关联；</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（四）受害人名誉、荣誉、家庭、职业、教育等方面遭受严重损害，且与侵权行为存在关联。</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受害人无罪被羁押十年以上；受害人死亡；受害人经鉴定为重伤或者残疾一至四级，且生活不能自理；受害人经诊断、鉴定为严重精神障碍或者精神残疾一至二级，生活不能自理，且与侵权行为存在关联的，可以认定为后果特别严重</w:t>
      </w:r>
      <w:r>
        <w:rPr>
          <w:rFonts w:ascii="仿宋" w:eastAsia="仿宋" w:hAnsi="仿宋" w:cs="仿宋" w:hint="eastAsia"/>
          <w:sz w:val="32"/>
          <w:szCs w:val="32"/>
        </w:rPr>
        <w:t>。</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第八条</w:t>
      </w:r>
      <w:r>
        <w:rPr>
          <w:rFonts w:ascii="仿宋" w:eastAsia="仿宋" w:hAnsi="仿宋" w:cs="仿宋" w:hint="eastAsia"/>
          <w:sz w:val="32"/>
          <w:szCs w:val="32"/>
        </w:rPr>
        <w:t xml:space="preserve">  </w:t>
      </w:r>
      <w:r>
        <w:rPr>
          <w:rFonts w:ascii="仿宋" w:eastAsia="仿宋" w:hAnsi="仿宋" w:cs="仿宋" w:hint="eastAsia"/>
          <w:sz w:val="32"/>
          <w:szCs w:val="32"/>
        </w:rPr>
        <w:t>致人精神损害，造成严重后果的，精神损害抚慰金一般应当在国家赔偿法第三十三条、第三十四条规定的人身自由赔偿金、生命健康赔偿金总额的百分之五十以下（包括本数）酌定；后果特别严重，或者虽然不具有本解释第七条第二款规定情形，但是确有证据证明前述标准不足以抚慰的，可以在百分之五十以上酌定。</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第九条</w:t>
      </w:r>
      <w:r>
        <w:rPr>
          <w:rFonts w:ascii="仿宋" w:eastAsia="仿宋" w:hAnsi="仿宋" w:cs="仿宋" w:hint="eastAsia"/>
          <w:sz w:val="32"/>
          <w:szCs w:val="32"/>
        </w:rPr>
        <w:t xml:space="preserve">  </w:t>
      </w:r>
      <w:r>
        <w:rPr>
          <w:rFonts w:ascii="仿宋" w:eastAsia="仿宋" w:hAnsi="仿宋" w:cs="仿宋" w:hint="eastAsia"/>
          <w:sz w:val="32"/>
          <w:szCs w:val="32"/>
        </w:rPr>
        <w:t>精神损害抚慰金的具体数额，应当在兼顾社会发展整体水平的同时，参考下列因素合理确定：</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（一）精神受到损害以及造成严重后果的情况；</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（二）侵权行为的目的、手段、方式等具体情节；</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（三）侵权机关及其工作人员的违法</w:t>
      </w:r>
      <w:r>
        <w:rPr>
          <w:rFonts w:ascii="仿宋" w:eastAsia="仿宋" w:hAnsi="仿宋" w:cs="仿宋" w:hint="eastAsia"/>
          <w:sz w:val="32"/>
          <w:szCs w:val="32"/>
        </w:rPr>
        <w:t>、过错程度、原因力比例；</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（四）原错判罪名、刑罚轻重、羁押时间；</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（五）受害人的职业、影响范围；</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（六）纠错的事由以及过程；</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（七）其他应当考虑的因素。</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第十条</w:t>
      </w:r>
      <w:r>
        <w:rPr>
          <w:rFonts w:ascii="仿宋" w:eastAsia="仿宋" w:hAnsi="仿宋" w:cs="仿宋" w:hint="eastAsia"/>
          <w:sz w:val="32"/>
          <w:szCs w:val="32"/>
        </w:rPr>
        <w:t xml:space="preserve">  </w:t>
      </w:r>
      <w:r>
        <w:rPr>
          <w:rFonts w:ascii="仿宋" w:eastAsia="仿宋" w:hAnsi="仿宋" w:cs="仿宋" w:hint="eastAsia"/>
          <w:sz w:val="32"/>
          <w:szCs w:val="32"/>
        </w:rPr>
        <w:t>精神损害抚慰金的数额一般不少于一千元；数额在一千元以上的，以千为计数单位。</w:t>
      </w: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赔偿请求人请求的精神损害抚慰金少于一千元，且其请</w:t>
      </w:r>
      <w:r>
        <w:rPr>
          <w:rFonts w:ascii="仿宋" w:eastAsia="仿宋" w:hAnsi="仿宋" w:cs="仿宋" w:hint="eastAsia"/>
          <w:sz w:val="32"/>
          <w:szCs w:val="32"/>
        </w:rPr>
        <w:lastRenderedPageBreak/>
        <w:t>求事由符合本解释规定的造成严重后果情形，经释明不予变更的，按照其请求数额支付。</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第十一条</w:t>
      </w:r>
      <w:r>
        <w:rPr>
          <w:rFonts w:ascii="仿宋" w:eastAsia="仿宋" w:hAnsi="仿宋" w:cs="仿宋" w:hint="eastAsia"/>
          <w:sz w:val="32"/>
          <w:szCs w:val="32"/>
        </w:rPr>
        <w:t xml:space="preserve">  </w:t>
      </w:r>
      <w:r>
        <w:rPr>
          <w:rFonts w:ascii="仿宋" w:eastAsia="仿宋" w:hAnsi="仿宋" w:cs="仿宋" w:hint="eastAsia"/>
          <w:sz w:val="32"/>
          <w:szCs w:val="32"/>
        </w:rPr>
        <w:t>受害人对损害事实和后果的发生或者扩大有过错的，可以根据其过错程度减少或者不予支付精神损害抚慰金。</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第十二条</w:t>
      </w:r>
      <w:r>
        <w:rPr>
          <w:rFonts w:ascii="仿宋" w:eastAsia="仿宋" w:hAnsi="仿宋" w:cs="仿宋" w:hint="eastAsia"/>
          <w:sz w:val="32"/>
          <w:szCs w:val="32"/>
        </w:rPr>
        <w:t xml:space="preserve">  </w:t>
      </w:r>
      <w:r>
        <w:rPr>
          <w:rFonts w:ascii="仿宋" w:eastAsia="仿宋" w:hAnsi="仿宋" w:cs="仿宋" w:hint="eastAsia"/>
          <w:sz w:val="32"/>
          <w:szCs w:val="32"/>
        </w:rPr>
        <w:t>决定中载明的支付精神损害抚慰金及其他责任承担方式，赔偿义务机关应当履行。</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第十三条</w:t>
      </w:r>
      <w:r>
        <w:rPr>
          <w:rFonts w:ascii="仿宋" w:eastAsia="仿宋" w:hAnsi="仿宋" w:cs="仿宋" w:hint="eastAsia"/>
          <w:sz w:val="32"/>
          <w:szCs w:val="32"/>
        </w:rPr>
        <w:t xml:space="preserve">  </w:t>
      </w:r>
      <w:r>
        <w:rPr>
          <w:rFonts w:ascii="仿宋" w:eastAsia="仿宋" w:hAnsi="仿宋" w:cs="仿宋" w:hint="eastAsia"/>
          <w:sz w:val="32"/>
          <w:szCs w:val="32"/>
        </w:rPr>
        <w:t>人民法院审理国家赔偿法第三十八条所涉侵犯公民人身权的国家赔偿案件，以及作为赔偿义务机关审查处理国家赔偿案件，涉及精神损害赔偿的，参照本解释规定。</w:t>
      </w:r>
    </w:p>
    <w:p w:rsidR="009D142D" w:rsidRDefault="000A65A5">
      <w:pPr>
        <w:pStyle w:val="a3"/>
        <w:spacing w:line="520" w:lineRule="exact"/>
        <w:ind w:firstLineChars="200" w:firstLine="640"/>
        <w:rPr>
          <w:rFonts w:ascii="仿宋" w:eastAsia="仿宋" w:hAnsi="仿宋" w:cs="仿宋"/>
          <w:sz w:val="32"/>
          <w:szCs w:val="32"/>
        </w:rPr>
      </w:pPr>
      <w:r>
        <w:rPr>
          <w:rFonts w:ascii="黑体" w:eastAsia="黑体" w:hAnsi="黑体" w:cs="黑体" w:hint="eastAsia"/>
          <w:sz w:val="32"/>
          <w:szCs w:val="32"/>
        </w:rPr>
        <w:t>第十四条</w:t>
      </w:r>
      <w:r>
        <w:rPr>
          <w:rFonts w:ascii="仿宋" w:eastAsia="仿宋" w:hAnsi="仿宋" w:cs="仿宋" w:hint="eastAsia"/>
          <w:sz w:val="32"/>
          <w:szCs w:val="32"/>
        </w:rPr>
        <w:t xml:space="preserve">  </w:t>
      </w:r>
      <w:r>
        <w:rPr>
          <w:rFonts w:ascii="仿宋" w:eastAsia="仿宋" w:hAnsi="仿宋" w:cs="仿宋" w:hint="eastAsia"/>
          <w:sz w:val="32"/>
          <w:szCs w:val="32"/>
        </w:rPr>
        <w:t>本解释自</w:t>
      </w:r>
      <w:r>
        <w:rPr>
          <w:rFonts w:ascii="仿宋" w:eastAsia="仿宋" w:hAnsi="仿宋" w:cs="仿宋" w:hint="eastAsia"/>
          <w:sz w:val="32"/>
          <w:szCs w:val="32"/>
        </w:rPr>
        <w:t>2021</w:t>
      </w:r>
      <w:r>
        <w:rPr>
          <w:rFonts w:ascii="仿宋" w:eastAsia="仿宋" w:hAnsi="仿宋" w:cs="仿宋" w:hint="eastAsia"/>
          <w:sz w:val="32"/>
          <w:szCs w:val="32"/>
        </w:rPr>
        <w:t>年</w:t>
      </w:r>
      <w:r>
        <w:rPr>
          <w:rFonts w:ascii="仿宋" w:eastAsia="仿宋" w:hAnsi="仿宋" w:cs="仿宋" w:hint="eastAsia"/>
          <w:sz w:val="32"/>
          <w:szCs w:val="32"/>
        </w:rPr>
        <w:t>4</w:t>
      </w:r>
      <w:r>
        <w:rPr>
          <w:rFonts w:ascii="仿宋" w:eastAsia="仿宋" w:hAnsi="仿宋" w:cs="仿宋" w:hint="eastAsia"/>
          <w:sz w:val="32"/>
          <w:szCs w:val="32"/>
        </w:rPr>
        <w:t>月</w:t>
      </w:r>
      <w:r>
        <w:rPr>
          <w:rFonts w:ascii="仿宋" w:eastAsia="仿宋" w:hAnsi="仿宋" w:cs="仿宋" w:hint="eastAsia"/>
          <w:sz w:val="32"/>
          <w:szCs w:val="32"/>
        </w:rPr>
        <w:t>1</w:t>
      </w:r>
      <w:r>
        <w:rPr>
          <w:rFonts w:ascii="仿宋" w:eastAsia="仿宋" w:hAnsi="仿宋" w:cs="仿宋" w:hint="eastAsia"/>
          <w:sz w:val="32"/>
          <w:szCs w:val="32"/>
        </w:rPr>
        <w:t>日起施行。本解释施行前的其他有关规定与本解释不一致的，以本解释为准。</w:t>
      </w:r>
    </w:p>
    <w:p w:rsidR="009D142D" w:rsidRDefault="009D142D">
      <w:pPr>
        <w:pStyle w:val="a3"/>
        <w:ind w:firstLineChars="200" w:firstLine="640"/>
        <w:rPr>
          <w:rFonts w:ascii="仿宋" w:eastAsia="仿宋" w:hAnsi="仿宋" w:cs="仿宋"/>
          <w:sz w:val="32"/>
          <w:szCs w:val="32"/>
        </w:rPr>
      </w:pPr>
    </w:p>
    <w:p w:rsidR="009D142D" w:rsidRDefault="000A65A5">
      <w:pPr>
        <w:pStyle w:val="a3"/>
        <w:spacing w:line="520" w:lineRule="exact"/>
        <w:ind w:firstLineChars="200" w:firstLine="640"/>
        <w:rPr>
          <w:rFonts w:ascii="仿宋" w:eastAsia="仿宋" w:hAnsi="仿宋" w:cs="仿宋"/>
          <w:sz w:val="32"/>
          <w:szCs w:val="32"/>
        </w:rPr>
      </w:pPr>
      <w:r>
        <w:rPr>
          <w:rFonts w:ascii="仿宋" w:eastAsia="仿宋" w:hAnsi="仿宋" w:cs="仿宋" w:hint="eastAsia"/>
          <w:sz w:val="32"/>
          <w:szCs w:val="32"/>
        </w:rPr>
        <w:t xml:space="preserve">  </w:t>
      </w: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rPr>
      </w:pPr>
    </w:p>
    <w:p w:rsidR="009D142D" w:rsidRDefault="009D142D">
      <w:pPr>
        <w:pStyle w:val="a3"/>
        <w:spacing w:line="520" w:lineRule="exact"/>
        <w:rPr>
          <w:rFonts w:ascii="仿宋" w:eastAsia="仿宋" w:hAnsi="仿宋" w:cs="仿宋"/>
          <w:sz w:val="32"/>
          <w:szCs w:val="32"/>
          <w:u w:val="single"/>
        </w:rPr>
      </w:pPr>
    </w:p>
    <w:sectPr w:rsidR="009D142D">
      <w:footerReference w:type="default" r:id="rId8"/>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5A5" w:rsidRDefault="000A65A5">
      <w:r>
        <w:separator/>
      </w:r>
    </w:p>
  </w:endnote>
  <w:endnote w:type="continuationSeparator" w:id="0">
    <w:p w:rsidR="000A65A5" w:rsidRDefault="000A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42D" w:rsidRDefault="000A65A5">
    <w:pPr>
      <w:pStyle w:val="a5"/>
      <w:jc w:val="center"/>
    </w:pPr>
    <w:r>
      <w:pict>
        <v:shapetype id="_x0000_t202" coordsize="21600,21600" o:spt="202" path="m,l,21600r21600,l21600,xe">
          <v:stroke joinstyle="miter"/>
          <v:path gradientshapeok="t" o:connecttype="rect"/>
        </v:shapetype>
        <v:shape id="_x0000_s3073" type="#_x0000_t202" style="position:absolute;left:0;text-align:left;margin-left:-7.9pt;margin-top:-5.35pt;width:43.3pt;height:31.55pt;z-index:251659264;mso-position-horizontal:outside;mso-position-horizontal-relative:margin;mso-width-relative:page;mso-height-relative:page" filled="f" stroked="f">
          <v:textbox inset="0,0,0,0">
            <w:txbxContent>
              <w:sdt>
                <w:sdtPr>
                  <w:id w:val="37664570"/>
                </w:sdtPr>
                <w:sdtEndPr/>
                <w:sdtContent>
                  <w:p w:rsidR="009D142D" w:rsidRDefault="000A65A5">
                    <w:pPr>
                      <w:pStyle w:val="a5"/>
                      <w:jc w:val="cente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E21764" w:rsidRPr="00E21764">
                      <w:rPr>
                        <w:rFonts w:ascii="宋体" w:hAnsi="宋体" w:cs="宋体"/>
                        <w:noProof/>
                        <w:sz w:val="28"/>
                        <w:szCs w:val="28"/>
                        <w:lang w:val="zh-CN"/>
                      </w:rPr>
                      <w:t>-</w:t>
                    </w:r>
                    <w:r w:rsidR="00E21764">
                      <w:rPr>
                        <w:rFonts w:ascii="宋体" w:hAnsi="宋体" w:cs="宋体"/>
                        <w:noProof/>
                        <w:sz w:val="28"/>
                        <w:szCs w:val="28"/>
                      </w:rPr>
                      <w:t xml:space="preserve"> 4 -</w:t>
                    </w:r>
                    <w:r>
                      <w:rPr>
                        <w:rFonts w:ascii="宋体" w:hAnsi="宋体" w:cs="宋体" w:hint="eastAsia"/>
                        <w:sz w:val="28"/>
                        <w:szCs w:val="28"/>
                        <w:lang w:val="zh-CN"/>
                      </w:rPr>
                      <w:fldChar w:fldCharType="end"/>
                    </w:r>
                  </w:p>
                </w:sdtContent>
              </w:sdt>
              <w:p w:rsidR="009D142D" w:rsidRDefault="009D142D"/>
            </w:txbxContent>
          </v:textbox>
          <w10:wrap anchorx="margin"/>
        </v:shape>
      </w:pict>
    </w:r>
  </w:p>
  <w:p w:rsidR="009D142D" w:rsidRDefault="009D142D">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5A5" w:rsidRDefault="000A65A5">
      <w:r>
        <w:separator/>
      </w:r>
    </w:p>
  </w:footnote>
  <w:footnote w:type="continuationSeparator" w:id="0">
    <w:p w:rsidR="000A65A5" w:rsidRDefault="000A65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5A5"/>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638E"/>
    <w:rsid w:val="002216B9"/>
    <w:rsid w:val="002322E1"/>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E1FF4"/>
    <w:rsid w:val="006E7630"/>
    <w:rsid w:val="006F0A7E"/>
    <w:rsid w:val="006F6FC3"/>
    <w:rsid w:val="006F7D77"/>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A7FD3"/>
    <w:rsid w:val="007B2410"/>
    <w:rsid w:val="007C01D1"/>
    <w:rsid w:val="007C5705"/>
    <w:rsid w:val="007D13B8"/>
    <w:rsid w:val="007D77CE"/>
    <w:rsid w:val="00802CDC"/>
    <w:rsid w:val="00805E1D"/>
    <w:rsid w:val="00813FEC"/>
    <w:rsid w:val="00814E29"/>
    <w:rsid w:val="00823C1E"/>
    <w:rsid w:val="00826D77"/>
    <w:rsid w:val="0083338D"/>
    <w:rsid w:val="008701AB"/>
    <w:rsid w:val="0087139A"/>
    <w:rsid w:val="00877798"/>
    <w:rsid w:val="008802DB"/>
    <w:rsid w:val="00881967"/>
    <w:rsid w:val="00885F48"/>
    <w:rsid w:val="00890F76"/>
    <w:rsid w:val="0089274E"/>
    <w:rsid w:val="008A08FA"/>
    <w:rsid w:val="008A62EF"/>
    <w:rsid w:val="008E70E5"/>
    <w:rsid w:val="008F50DB"/>
    <w:rsid w:val="008F5238"/>
    <w:rsid w:val="008F7723"/>
    <w:rsid w:val="00904BC8"/>
    <w:rsid w:val="00911248"/>
    <w:rsid w:val="00913A4E"/>
    <w:rsid w:val="00925F75"/>
    <w:rsid w:val="00971108"/>
    <w:rsid w:val="0097410F"/>
    <w:rsid w:val="00974280"/>
    <w:rsid w:val="00974393"/>
    <w:rsid w:val="0097704C"/>
    <w:rsid w:val="00986E71"/>
    <w:rsid w:val="009879B2"/>
    <w:rsid w:val="00992211"/>
    <w:rsid w:val="009942EB"/>
    <w:rsid w:val="009A1862"/>
    <w:rsid w:val="009A78E1"/>
    <w:rsid w:val="009A7FCF"/>
    <w:rsid w:val="009B548C"/>
    <w:rsid w:val="009D142D"/>
    <w:rsid w:val="009D18B6"/>
    <w:rsid w:val="009E6F62"/>
    <w:rsid w:val="009E7F86"/>
    <w:rsid w:val="009F1030"/>
    <w:rsid w:val="009F1B6D"/>
    <w:rsid w:val="00A02039"/>
    <w:rsid w:val="00A04BD7"/>
    <w:rsid w:val="00A20EDD"/>
    <w:rsid w:val="00A212C7"/>
    <w:rsid w:val="00A23406"/>
    <w:rsid w:val="00A27EDD"/>
    <w:rsid w:val="00A35D41"/>
    <w:rsid w:val="00A40953"/>
    <w:rsid w:val="00A459E3"/>
    <w:rsid w:val="00A571FE"/>
    <w:rsid w:val="00A636AF"/>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CE2"/>
    <w:rsid w:val="00C452E4"/>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B1764"/>
    <w:rsid w:val="00DB2440"/>
    <w:rsid w:val="00DB3C8A"/>
    <w:rsid w:val="00DB5F18"/>
    <w:rsid w:val="00DC5F89"/>
    <w:rsid w:val="00DD0C51"/>
    <w:rsid w:val="00DD7AE6"/>
    <w:rsid w:val="00E06E17"/>
    <w:rsid w:val="00E11578"/>
    <w:rsid w:val="00E21764"/>
    <w:rsid w:val="00E2376E"/>
    <w:rsid w:val="00E25C09"/>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46C7"/>
    <w:rsid w:val="00FC2B5F"/>
    <w:rsid w:val="00FD0009"/>
    <w:rsid w:val="00FD51B5"/>
    <w:rsid w:val="00FF402A"/>
    <w:rsid w:val="00FF690A"/>
    <w:rsid w:val="252F55BF"/>
    <w:rsid w:val="27D124FE"/>
    <w:rsid w:val="27DA64CA"/>
    <w:rsid w:val="31E21DB2"/>
    <w:rsid w:val="32B7241A"/>
    <w:rsid w:val="48416035"/>
    <w:rsid w:val="5DBB374F"/>
    <w:rsid w:val="6F504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5B668499-0A70-4261-B5AC-4F775238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qFormat/>
    <w:rPr>
      <w:sz w:val="18"/>
      <w:szCs w:val="18"/>
    </w:rPr>
  </w:style>
  <w:style w:type="paragraph" w:styleId="a5">
    <w:name w:val="footer"/>
    <w:basedOn w:val="a"/>
    <w:link w:val="Char1"/>
    <w:uiPriority w:val="99"/>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qFormat/>
  </w:style>
  <w:style w:type="character" w:customStyle="1" w:styleId="Char2">
    <w:name w:val="页眉 Char"/>
    <w:basedOn w:val="a0"/>
    <w:link w:val="a6"/>
    <w:qFormat/>
    <w:rPr>
      <w:kern w:val="2"/>
      <w:sz w:val="18"/>
      <w:szCs w:val="18"/>
    </w:rPr>
  </w:style>
  <w:style w:type="character" w:customStyle="1" w:styleId="Char0">
    <w:name w:val="批注框文本 Char"/>
    <w:basedOn w:val="a0"/>
    <w:link w:val="a4"/>
    <w:qFormat/>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 w:type="character" w:customStyle="1" w:styleId="Char1">
    <w:name w:val="页脚 Char"/>
    <w:basedOn w:val="a0"/>
    <w:link w:val="a5"/>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FE03CF1-D8BE-4088-A52D-EF11ED66A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271</Words>
  <Characters>1551</Characters>
  <Application>Microsoft Office Word</Application>
  <DocSecurity>0</DocSecurity>
  <Lines>12</Lines>
  <Paragraphs>3</Paragraphs>
  <ScaleCrop>false</ScaleCrop>
  <Company>Lenovo (Beijing) Limited</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梁姝</cp:lastModifiedBy>
  <cp:revision>4</cp:revision>
  <cp:lastPrinted>2014-04-03T09:04:00Z</cp:lastPrinted>
  <dcterms:created xsi:type="dcterms:W3CDTF">2021-03-23T10:23:00Z</dcterms:created>
  <dcterms:modified xsi:type="dcterms:W3CDTF">2021-11-11T07:19:00Z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D5FEC3325658487EB45E90193089DFFB</vt:lpwstr>
  </property>
</Properties>
</file>