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4BC9" w:rsidRDefault="00CD4BC9">
      <w:pPr>
        <w:spacing w:line="560" w:lineRule="exact"/>
        <w:ind w:firstLineChars="200" w:firstLine="640"/>
        <w:rPr>
          <w:rFonts w:ascii="仿宋_GB2312" w:eastAsia="仿宋_GB2312" w:hAnsi="仿宋_GB2312" w:cs="仿宋_GB2312"/>
          <w:sz w:val="32"/>
          <w:szCs w:val="32"/>
        </w:rPr>
      </w:pPr>
    </w:p>
    <w:p w:rsidR="00CD4BC9" w:rsidRDefault="00CD4BC9">
      <w:pPr>
        <w:spacing w:line="560" w:lineRule="exact"/>
        <w:ind w:firstLineChars="200" w:firstLine="640"/>
        <w:rPr>
          <w:rFonts w:ascii="仿宋_GB2312" w:eastAsia="仿宋_GB2312" w:hAnsi="仿宋_GB2312" w:cs="仿宋_GB2312"/>
          <w:sz w:val="32"/>
          <w:szCs w:val="32"/>
        </w:rPr>
      </w:pPr>
    </w:p>
    <w:p w:rsidR="00CD4BC9" w:rsidRDefault="00206040">
      <w:pPr>
        <w:spacing w:line="560" w:lineRule="exact"/>
        <w:ind w:firstLineChars="200" w:firstLine="880"/>
        <w:jc w:val="center"/>
        <w:rPr>
          <w:rFonts w:ascii="宋体" w:hAnsi="宋体" w:cs="宋体"/>
          <w:sz w:val="44"/>
          <w:szCs w:val="44"/>
        </w:rPr>
      </w:pPr>
      <w:r>
        <w:rPr>
          <w:rFonts w:ascii="宋体" w:hAnsi="宋体" w:cs="宋体" w:hint="eastAsia"/>
          <w:sz w:val="44"/>
          <w:szCs w:val="44"/>
        </w:rPr>
        <w:t>最高人民法院</w:t>
      </w:r>
    </w:p>
    <w:p w:rsidR="00CD4BC9" w:rsidRDefault="00206040">
      <w:pPr>
        <w:spacing w:line="560" w:lineRule="exact"/>
        <w:ind w:firstLineChars="200" w:firstLine="880"/>
        <w:jc w:val="center"/>
        <w:rPr>
          <w:rFonts w:ascii="宋体" w:hAnsi="宋体" w:cs="宋体"/>
          <w:sz w:val="44"/>
          <w:szCs w:val="44"/>
        </w:rPr>
      </w:pPr>
      <w:r>
        <w:rPr>
          <w:rFonts w:ascii="宋体" w:hAnsi="宋体" w:cs="宋体" w:hint="eastAsia"/>
          <w:sz w:val="44"/>
          <w:szCs w:val="44"/>
        </w:rPr>
        <w:t>关于审理涉船员纠纷案件</w:t>
      </w:r>
    </w:p>
    <w:p w:rsidR="00CD4BC9" w:rsidRDefault="00206040">
      <w:pPr>
        <w:spacing w:line="560" w:lineRule="exact"/>
        <w:ind w:firstLineChars="200" w:firstLine="880"/>
        <w:jc w:val="center"/>
        <w:rPr>
          <w:rFonts w:ascii="仿宋_GB2312" w:eastAsia="仿宋_GB2312" w:hAnsi="仿宋_GB2312" w:cs="仿宋_GB2312"/>
          <w:sz w:val="32"/>
          <w:szCs w:val="32"/>
        </w:rPr>
      </w:pPr>
      <w:r>
        <w:rPr>
          <w:rFonts w:ascii="宋体" w:hAnsi="宋体" w:cs="宋体" w:hint="eastAsia"/>
          <w:sz w:val="44"/>
          <w:szCs w:val="44"/>
        </w:rPr>
        <w:t>若干问题的规定</w:t>
      </w:r>
    </w:p>
    <w:p w:rsidR="00CD4BC9" w:rsidRDefault="00CD4BC9">
      <w:pPr>
        <w:spacing w:line="560" w:lineRule="exact"/>
        <w:ind w:firstLineChars="200" w:firstLine="640"/>
        <w:rPr>
          <w:rFonts w:ascii="仿宋_GB2312" w:eastAsia="仿宋_GB2312" w:hAnsi="仿宋_GB2312" w:cs="仿宋_GB2312"/>
          <w:sz w:val="32"/>
          <w:szCs w:val="32"/>
        </w:rPr>
      </w:pPr>
    </w:p>
    <w:p w:rsidR="00CD4BC9" w:rsidRDefault="00206040">
      <w:pPr>
        <w:spacing w:line="560" w:lineRule="exact"/>
        <w:ind w:firstLine="640"/>
        <w:jc w:val="center"/>
        <w:rPr>
          <w:rFonts w:ascii="仿宋_GB2312" w:eastAsia="仿宋_GB2312" w:hAnsi="仿宋_GB2312" w:cs="仿宋_GB2312"/>
          <w:sz w:val="32"/>
          <w:szCs w:val="32"/>
        </w:rPr>
      </w:pPr>
      <w:bookmarkStart w:id="0" w:name="_GoBack"/>
      <w:r>
        <w:rPr>
          <w:rFonts w:ascii="仿宋_GB2312" w:eastAsia="楷体_GB2312" w:hAnsi="仿宋_GB2312" w:cs="仿宋_GB2312" w:hint="eastAsia"/>
          <w:sz w:val="32"/>
          <w:szCs w:val="32"/>
        </w:rPr>
        <w:t>法释</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2020</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11</w:t>
      </w:r>
      <w:r>
        <w:rPr>
          <w:rFonts w:ascii="仿宋_GB2312" w:eastAsia="仿宋_GB2312" w:hAnsi="仿宋_GB2312" w:cs="仿宋_GB2312" w:hint="eastAsia"/>
          <w:sz w:val="32"/>
          <w:szCs w:val="32"/>
        </w:rPr>
        <w:t>号</w:t>
      </w:r>
      <w:bookmarkEnd w:id="0"/>
    </w:p>
    <w:p w:rsidR="00CD4BC9" w:rsidRDefault="00CD4BC9">
      <w:pPr>
        <w:spacing w:line="560" w:lineRule="exact"/>
        <w:ind w:firstLineChars="200" w:firstLine="640"/>
        <w:rPr>
          <w:rFonts w:ascii="仿宋_GB2312" w:eastAsia="仿宋_GB2312" w:hAnsi="仿宋_GB2312" w:cs="仿宋_GB2312"/>
          <w:sz w:val="32"/>
          <w:szCs w:val="32"/>
        </w:rPr>
      </w:pPr>
    </w:p>
    <w:p w:rsidR="00CD4BC9" w:rsidRDefault="00206040">
      <w:pPr>
        <w:spacing w:line="560" w:lineRule="exact"/>
        <w:ind w:leftChars="300" w:left="630" w:rightChars="300" w:right="630"/>
        <w:rPr>
          <w:rFonts w:ascii="仿宋_GB2312" w:eastAsia="仿宋_GB2312" w:hAnsi="仿宋_GB2312" w:cs="仿宋_GB2312"/>
          <w:sz w:val="32"/>
          <w:szCs w:val="32"/>
        </w:rPr>
      </w:pPr>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2020</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6</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8</w:t>
      </w:r>
      <w:r>
        <w:rPr>
          <w:rFonts w:ascii="楷体_GB2312" w:eastAsia="楷体_GB2312" w:hAnsi="楷体_GB2312" w:cs="楷体_GB2312" w:hint="eastAsia"/>
          <w:sz w:val="32"/>
          <w:szCs w:val="32"/>
        </w:rPr>
        <w:t>日最高人民法院审判委员会第</w:t>
      </w:r>
      <w:r>
        <w:rPr>
          <w:rFonts w:ascii="楷体_GB2312" w:eastAsia="楷体_GB2312" w:hAnsi="楷体_GB2312" w:cs="楷体_GB2312" w:hint="eastAsia"/>
          <w:sz w:val="32"/>
          <w:szCs w:val="32"/>
        </w:rPr>
        <w:t>1803</w:t>
      </w:r>
      <w:r>
        <w:rPr>
          <w:rFonts w:ascii="楷体_GB2312" w:eastAsia="楷体_GB2312" w:hAnsi="楷体_GB2312" w:cs="楷体_GB2312" w:hint="eastAsia"/>
          <w:sz w:val="32"/>
          <w:szCs w:val="32"/>
        </w:rPr>
        <w:t>次会议通过，自</w:t>
      </w:r>
      <w:r>
        <w:rPr>
          <w:rFonts w:ascii="楷体_GB2312" w:eastAsia="楷体_GB2312" w:hAnsi="楷体_GB2312" w:cs="楷体_GB2312" w:hint="eastAsia"/>
          <w:sz w:val="32"/>
          <w:szCs w:val="32"/>
        </w:rPr>
        <w:t>2020</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9</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29</w:t>
      </w:r>
      <w:r>
        <w:rPr>
          <w:rFonts w:ascii="楷体_GB2312" w:eastAsia="楷体_GB2312" w:hAnsi="楷体_GB2312" w:cs="楷体_GB2312" w:hint="eastAsia"/>
          <w:sz w:val="32"/>
          <w:szCs w:val="32"/>
        </w:rPr>
        <w:t>日起施行）</w:t>
      </w:r>
    </w:p>
    <w:p w:rsidR="00CD4BC9" w:rsidRDefault="00CD4BC9">
      <w:pPr>
        <w:spacing w:line="560" w:lineRule="exact"/>
        <w:ind w:firstLineChars="200" w:firstLine="640"/>
        <w:rPr>
          <w:rFonts w:ascii="仿宋_GB2312" w:eastAsia="仿宋_GB2312" w:hAnsi="仿宋_GB2312" w:cs="仿宋_GB2312"/>
          <w:sz w:val="32"/>
          <w:szCs w:val="32"/>
        </w:rPr>
      </w:pPr>
    </w:p>
    <w:p w:rsidR="00CD4BC9" w:rsidRDefault="0020604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为正确审理涉船员纠纷案件，根据《中华人民共和国劳动合同法》《中华人民共和国海商法》《中华人民共和国劳动争议调解仲裁法》《中华人民共和国海事诉讼特别程序法》等法律的规定，结合审判实践，制定本规定。</w:t>
      </w:r>
    </w:p>
    <w:p w:rsidR="00CD4BC9" w:rsidRDefault="00206040">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第一</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船员与船舶所有人之间的劳动争议不涉及船员登船、在船工作、离船遣返，当事人直接向海事法院提起诉讼的，海事法院告知当事人依照《中华人民共和国劳动争议调解仲裁法》的规定处理。</w:t>
      </w:r>
    </w:p>
    <w:p w:rsidR="00CD4BC9" w:rsidRDefault="00206040">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船员与船舶所有人之间的劳务合</w:t>
      </w:r>
      <w:r>
        <w:rPr>
          <w:rFonts w:ascii="仿宋_GB2312" w:eastAsia="仿宋_GB2312" w:hAnsi="仿宋_GB2312" w:cs="仿宋_GB2312" w:hint="eastAsia"/>
          <w:sz w:val="32"/>
          <w:szCs w:val="32"/>
        </w:rPr>
        <w:t>同纠纷，当事人向原告住所地、合同签订地、船员登船港或者离船港所在地、被告住所地海事法院提起诉讼的，海事法院应予受理。</w:t>
      </w:r>
    </w:p>
    <w:p w:rsidR="00CD4BC9" w:rsidRDefault="00206040">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第三</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船员服务机构仅代理船员办理相关手续，或者仅为船员提供就业信息，且不属于劳务派遣情形，船员服务机构主张其与船员仅成立居间或委托合同关系的，应予支持。</w:t>
      </w:r>
    </w:p>
    <w:p w:rsidR="00CD4BC9" w:rsidRDefault="00206040">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船舶所有人以被挂靠单位的名义对外经营，船舶所有人未与船员签订书面劳动合同，其聘用的船员因工伤亡，船员主张被挂靠单位为承担工伤保险责任的单位的，应予支持。船舶所有人与船员成立劳动关系的除外。</w:t>
      </w:r>
    </w:p>
    <w:p w:rsidR="00CD4BC9" w:rsidRDefault="00206040">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与船员登船、在船工作、离船</w:t>
      </w:r>
      <w:r>
        <w:rPr>
          <w:rFonts w:ascii="仿宋_GB2312" w:eastAsia="仿宋_GB2312" w:hAnsi="仿宋_GB2312" w:cs="仿宋_GB2312" w:hint="eastAsia"/>
          <w:sz w:val="32"/>
          <w:szCs w:val="32"/>
        </w:rPr>
        <w:t>遣返无关的劳动争议提交劳动争议仲裁委员会仲裁，仲裁庭根据船员的申请，就船员工资和其他劳动报酬、工伤医疗费、经济补偿或赔偿金裁决先予执行的，移送地方人民法院审查。</w:t>
      </w:r>
    </w:p>
    <w:p w:rsidR="00CD4BC9" w:rsidRDefault="0020604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船员申请扣押船舶的，仲裁庭应将扣押船舶申请提交船籍港所在地或者船舶所在地的海事法院审查，或交地方人民法院委托船籍港所在地或者船舶所在地的海事法院审查。</w:t>
      </w:r>
    </w:p>
    <w:p w:rsidR="00CD4BC9" w:rsidRDefault="00206040">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具有船舶优先权的海事请求，船员未依照《中华人民共和国海商法》第二十八条的规定请求扣押产生船舶优先权的船舶，仅请求确认其在一定期限内对该产生船舶优先权的船舶享有优先权的，应予支持。</w:t>
      </w:r>
    </w:p>
    <w:p w:rsidR="00CD4BC9" w:rsidRDefault="0020604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前款规定的期限自优先权产生之日起以一年为限。</w:t>
      </w:r>
    </w:p>
    <w:p w:rsidR="00CD4BC9" w:rsidRDefault="00206040">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第七</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具有船舶优先权的海事请求，船员未申请限制船舶继续营运，仅申请对船舶采取限制处分、限制抵押等保全措施的，应予支持。船员主张该保全措施构成《中华人民共和国海商法》</w:t>
      </w:r>
      <w:r>
        <w:rPr>
          <w:rFonts w:ascii="仿宋_GB2312" w:eastAsia="仿宋_GB2312" w:hAnsi="仿宋_GB2312" w:cs="仿宋_GB2312" w:hint="eastAsia"/>
          <w:sz w:val="32"/>
          <w:szCs w:val="32"/>
        </w:rPr>
        <w:lastRenderedPageBreak/>
        <w:t>第二十八条规定的船舶扣押的，不予支持。</w:t>
      </w:r>
    </w:p>
    <w:p w:rsidR="00CD4BC9" w:rsidRDefault="00206040">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第八</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因登船、在船工作、离船遣返产生的下列工资、其他劳动报酬，船员主张船舶优先权的，应予支持：</w:t>
      </w:r>
    </w:p>
    <w:p w:rsidR="00CD4BC9" w:rsidRDefault="0020604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（一）正常工作时间的报酬或基本工资；</w:t>
      </w:r>
    </w:p>
    <w:p w:rsidR="00CD4BC9" w:rsidRDefault="0020604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（二）延长工作时间的加班工资，休息日、法定休假日加班工资；</w:t>
      </w:r>
    </w:p>
    <w:p w:rsidR="00CD4BC9" w:rsidRDefault="0020604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（三）在船服务期间的奖金、相关津贴和补贴，以及特殊情况下支付</w:t>
      </w:r>
      <w:r>
        <w:rPr>
          <w:rFonts w:ascii="仿宋_GB2312" w:eastAsia="仿宋_GB2312" w:hAnsi="仿宋_GB2312" w:cs="仿宋_GB2312" w:hint="eastAsia"/>
          <w:sz w:val="32"/>
          <w:szCs w:val="32"/>
        </w:rPr>
        <w:t>的工资等；</w:t>
      </w:r>
    </w:p>
    <w:p w:rsidR="00CD4BC9" w:rsidRDefault="0020604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（四）未按期支付上述款项产生的孳息。</w:t>
      </w:r>
    </w:p>
    <w:p w:rsidR="00CD4BC9" w:rsidRDefault="0020604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中华人民共和国劳动法》和《中华人民共和国劳动合同法》中规定的相关经济补偿金、赔偿金，未依据《中华人民共和国劳动合同法》第八十二条之规定签订书面劳动合同而应支付的双倍工资，以及因未按期支付本款规定的前述费用而产生的孳息，船员主张船舶优先权的，不予支持。</w:t>
      </w:r>
    </w:p>
    <w:p w:rsidR="00CD4BC9" w:rsidRDefault="00206040">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第九</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船员因登船、在船工作、离船遣返而产生的工资、其他劳动报酬、船员遣返费用、社会保险费用，船舶所有人未依约支付，第三方向船员垫付全部或部分费用，船员将相应的海事请求权转让给第三方，第三方就受让的海事请求权请求确认或行使船舶优先权的，应予支持。</w:t>
      </w:r>
    </w:p>
    <w:p w:rsidR="00CD4BC9" w:rsidRDefault="00206040">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船员境外工作期间被遗弃，或遭遇其他突发事件，船舶所有人或其财务担保人、船员外派机构未承担相应责任，船员请求财务担保人、船员外派机构从财务担保费用、海员外派备</w:t>
      </w:r>
      <w:r>
        <w:rPr>
          <w:rFonts w:ascii="仿宋_GB2312" w:eastAsia="仿宋_GB2312" w:hAnsi="仿宋_GB2312" w:cs="仿宋_GB2312" w:hint="eastAsia"/>
          <w:sz w:val="32"/>
          <w:szCs w:val="32"/>
        </w:rPr>
        <w:lastRenderedPageBreak/>
        <w:t>用金中先行支付紧急救助所需相关费用的，应予支持。</w:t>
      </w:r>
    </w:p>
    <w:p w:rsidR="00CD4BC9" w:rsidRDefault="00206040">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第十一</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对于船员工资构成是否涵盖船员登船、在船工作、</w:t>
      </w:r>
      <w:r>
        <w:rPr>
          <w:rFonts w:ascii="仿宋_GB2312" w:eastAsia="仿宋_GB2312" w:hAnsi="仿宋_GB2312" w:cs="仿宋_GB2312" w:hint="eastAsia"/>
          <w:sz w:val="32"/>
          <w:szCs w:val="32"/>
        </w:rPr>
        <w:t>离船遣返期间的工作日加班工资、休息日加班工资、法定休假日加班工资，当事人有约定并主张依据约定确定双方加班工资的，应予支持。但约定标准低于法定最低工资标准的，不予支持。</w:t>
      </w:r>
    </w:p>
    <w:p w:rsidR="00CD4BC9" w:rsidRDefault="00206040">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第十二</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标准工时制度下，船员就休息日加班主张加班工资，船舶所有人举证证明已做补休安排，不应按法定标准支付加班工资的，应予支持。　　综合计算工时工作制下，船员对综合计算周期内的工作时间总量超过标准工作时间总量的部分主张加班工资的，应予支持。</w:t>
      </w:r>
    </w:p>
    <w:p w:rsidR="00CD4BC9" w:rsidRDefault="0020604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船员就法定休假日加班主张加班工资，船舶所有人抗辩对法定休假日加班已做补休安排，不应支付法定休假日加班</w:t>
      </w:r>
      <w:r>
        <w:rPr>
          <w:rFonts w:ascii="仿宋_GB2312" w:eastAsia="仿宋_GB2312" w:hAnsi="仿宋_GB2312" w:cs="仿宋_GB2312" w:hint="eastAsia"/>
          <w:sz w:val="32"/>
          <w:szCs w:val="32"/>
        </w:rPr>
        <w:t>工资的，对船舶所有人的抗辩不予支持。双方另有约定的除外。</w:t>
      </w:r>
    </w:p>
    <w:p w:rsidR="00CD4BC9" w:rsidRDefault="00206040">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第十三</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当事人对船员工资或其他劳动报酬的支付标准、支付方式未作约定或约定不明，当事人主张以同工种、同级别、同时期市场的平均标准确定的，应予支持。</w:t>
      </w:r>
    </w:p>
    <w:p w:rsidR="00CD4BC9" w:rsidRDefault="00206040">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第十四</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船员因受欺诈、受胁迫在禁渔期、禁渔区或使用禁用的工具、方法捕捞水产品，或者捕捞珍稀、濒危海洋生物，或者进行其他违法作业，对船员主张的登船、在船工作、离船遣返期间的船员工资、其他劳动报酬，应予支持。</w:t>
      </w:r>
    </w:p>
    <w:p w:rsidR="00CD4BC9" w:rsidRDefault="0020604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船舶所有人举证证明船员对违法作业自愿且明知的，对船员的上述请求不予支持。</w:t>
      </w:r>
    </w:p>
    <w:p w:rsidR="00CD4BC9" w:rsidRDefault="0020604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船舶所有人或者船员的</w:t>
      </w:r>
      <w:r>
        <w:rPr>
          <w:rFonts w:ascii="仿宋_GB2312" w:eastAsia="仿宋_GB2312" w:hAnsi="仿宋_GB2312" w:cs="仿宋_GB2312" w:hint="eastAsia"/>
          <w:sz w:val="32"/>
          <w:szCs w:val="32"/>
        </w:rPr>
        <w:t>行为应受行政处罚或涉嫌刑事犯罪的，依照相关法定程序处理。</w:t>
      </w:r>
    </w:p>
    <w:p w:rsidR="00CD4BC9" w:rsidRDefault="00206040">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第十五</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船员因劳务受到损害，船舶所有人举证证明船员自身存在过错，并请求判令船员自担相应责任的，对船舶所有人的抗辩予以支持。</w:t>
      </w:r>
    </w:p>
    <w:p w:rsidR="00CD4BC9" w:rsidRDefault="00206040">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第十六</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因第三人的原因遭受工伤，船员对第三人提起民事诉讼请求民事赔偿，第三人以船员已获得工伤保险待遇为由，抗辩其不应承担民事赔偿责任的，对第三人的抗辩不予支持。但船员已经获得医疗费用的，对船员关于医疗费用的诉讼请求不予支持。</w:t>
      </w:r>
    </w:p>
    <w:p w:rsidR="00CD4BC9" w:rsidRDefault="00206040">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第十七</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船员与船舶所有人之间的劳动合同具有涉外因素，当事人请求依照《中华人民共和国涉外民事关</w:t>
      </w:r>
      <w:r>
        <w:rPr>
          <w:rFonts w:ascii="仿宋_GB2312" w:eastAsia="仿宋_GB2312" w:hAnsi="仿宋_GB2312" w:cs="仿宋_GB2312" w:hint="eastAsia"/>
          <w:sz w:val="32"/>
          <w:szCs w:val="32"/>
        </w:rPr>
        <w:t>系法律适用法》第四十三条确定应适用的法律的，应予支持。</w:t>
      </w:r>
    </w:p>
    <w:p w:rsidR="00CD4BC9" w:rsidRDefault="0020604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船员与船舶所有人之间的劳务合同，当事人没有选择应适用的法律，当事人主张适用劳务派出地、船舶所有人主营业地、船旗国法律的，应予支持。</w:t>
      </w:r>
    </w:p>
    <w:p w:rsidR="00CD4BC9" w:rsidRDefault="0020604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船员与船员服务机构之间，以及船员服务机构与船舶所有人之间的居间或委托协议，当事人未选择应适用的法律，当事人主张适用与该合同有最密切联系的法律的，应予支持。</w:t>
      </w:r>
    </w:p>
    <w:p w:rsidR="00CD4BC9" w:rsidRDefault="00206040">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第十八</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本规定中的船舶所有人，包括光船承租人、船舶管理人、船舶经营人。</w:t>
      </w:r>
    </w:p>
    <w:p w:rsidR="00CD4BC9" w:rsidRDefault="00206040">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第十九</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本规定施行后尚未终审的案件，适用本规定；本</w:t>
      </w:r>
      <w:r>
        <w:rPr>
          <w:rFonts w:ascii="仿宋_GB2312" w:eastAsia="仿宋_GB2312" w:hAnsi="仿宋_GB2312" w:cs="仿宋_GB2312" w:hint="eastAsia"/>
          <w:sz w:val="32"/>
          <w:szCs w:val="32"/>
        </w:rPr>
        <w:lastRenderedPageBreak/>
        <w:t>规定施行前已经终审，当事人申请再审或者按照审判监督程序决定再审的案件，不适用本规定。</w:t>
      </w:r>
    </w:p>
    <w:p w:rsidR="00CD4BC9" w:rsidRDefault="00206040">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本院以前发布的规定与本规定不一致的，以本规定为准。</w:t>
      </w:r>
    </w:p>
    <w:p w:rsidR="00CD4BC9" w:rsidRDefault="00206040">
      <w:pPr>
        <w:spacing w:line="560" w:lineRule="exact"/>
        <w:ind w:firstLineChars="200" w:firstLine="640"/>
      </w:pPr>
      <w:r>
        <w:rPr>
          <w:rFonts w:ascii="黑体" w:eastAsia="黑体" w:hAnsi="黑体" w:cs="黑体" w:hint="eastAsia"/>
          <w:sz w:val="32"/>
          <w:szCs w:val="32"/>
        </w:rPr>
        <w:t>第二十一</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本规定自</w:t>
      </w:r>
      <w:r>
        <w:rPr>
          <w:rFonts w:ascii="仿宋_GB2312" w:eastAsia="仿宋_GB2312" w:hAnsi="仿宋_GB2312" w:cs="仿宋_GB2312" w:hint="eastAsia"/>
          <w:sz w:val="32"/>
          <w:szCs w:val="32"/>
        </w:rPr>
        <w:t>2020</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9</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29</w:t>
      </w:r>
      <w:r>
        <w:rPr>
          <w:rFonts w:ascii="仿宋_GB2312" w:eastAsia="仿宋_GB2312" w:hAnsi="仿宋_GB2312" w:cs="仿宋_GB2312" w:hint="eastAsia"/>
          <w:sz w:val="32"/>
          <w:szCs w:val="32"/>
        </w:rPr>
        <w:t>日起实施。</w:t>
      </w:r>
    </w:p>
    <w:p w:rsidR="00CD4BC9" w:rsidRDefault="00CD4BC9"/>
    <w:sectPr w:rsidR="00CD4BC9">
      <w:footerReference w:type="even" r:id="rId7"/>
      <w:footerReference w:type="default" r:id="rId8"/>
      <w:pgSz w:w="11906" w:h="16838"/>
      <w:pgMar w:top="2098" w:right="1474" w:bottom="1984" w:left="1587" w:header="851" w:footer="992" w:gutter="0"/>
      <w:pgNumType w:fmt="numberInDash" w:start="1"/>
      <w:cols w:space="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6040" w:rsidRDefault="00206040">
      <w:r>
        <w:separator/>
      </w:r>
    </w:p>
  </w:endnote>
  <w:endnote w:type="continuationSeparator" w:id="0">
    <w:p w:rsidR="00206040" w:rsidRDefault="002060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charset w:val="86"/>
    <w:family w:val="modern"/>
    <w:pitch w:val="default"/>
    <w:sig w:usb0="00000001" w:usb1="080E0000" w:usb2="00000000" w:usb3="00000000" w:csb0="00040000" w:csb1="00000000"/>
  </w:font>
  <w:font w:name="楷体_GB2312">
    <w:altName w:val="楷体"/>
    <w:charset w:val="86"/>
    <w:family w:val="modern"/>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4BC9" w:rsidRDefault="00206040">
    <w:pPr>
      <w:pStyle w:val="a3"/>
    </w:pPr>
    <w:r>
      <w:rPr>
        <w:noProof/>
        <w:sz w:val="1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D4BC9" w:rsidRDefault="00206040">
                          <w:pPr>
                            <w:pStyle w:val="a3"/>
                          </w:pPr>
                          <w:r>
                            <w:rPr>
                              <w:rFonts w:hint="eastAsia"/>
                            </w:rPr>
                            <w:fldChar w:fldCharType="begin"/>
                          </w:r>
                          <w:r>
                            <w:rPr>
                              <w:rFonts w:hint="eastAsia"/>
                            </w:rPr>
                            <w:instrText xml:space="preserve"> PAGE  \* MERGEFORMAT </w:instrText>
                          </w:r>
                          <w:r>
                            <w:rPr>
                              <w:rFonts w:hint="eastAsia"/>
                            </w:rPr>
                            <w:fldChar w:fldCharType="separate"/>
                          </w:r>
                          <w:r w:rsidR="004F0588">
                            <w:rPr>
                              <w:noProof/>
                            </w:rPr>
                            <w:t>- 4 -</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26" type="#_x0000_t202" style="position:absolute;margin-left:92.8pt;margin-top:0;width:2in;height:2in;z-index:251662336;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Nte8iJhAgAACgUAAA4AAAAAAAAAAAAAAAAALgIAAGRycy9lMm9Eb2MueG1s&#10;UEsBAi0AFAAGAAgAAAAhAHGq0bnXAAAABQEAAA8AAAAAAAAAAAAAAAAAuwQAAGRycy9kb3ducmV2&#10;LnhtbFBLBQYAAAAABAAEAPMAAAC/BQAAAAA=&#10;" filled="f" stroked="f" strokeweight=".5pt">
              <v:textbox style="mso-fit-shape-to-text:t" inset="0,0,0,0">
                <w:txbxContent>
                  <w:p w:rsidR="00CD4BC9" w:rsidRDefault="00206040">
                    <w:pPr>
                      <w:pStyle w:val="a3"/>
                    </w:pPr>
                    <w:r>
                      <w:rPr>
                        <w:rFonts w:hint="eastAsia"/>
                      </w:rPr>
                      <w:fldChar w:fldCharType="begin"/>
                    </w:r>
                    <w:r>
                      <w:rPr>
                        <w:rFonts w:hint="eastAsia"/>
                      </w:rPr>
                      <w:instrText xml:space="preserve"> PAGE  \* MERGEFORMAT </w:instrText>
                    </w:r>
                    <w:r>
                      <w:rPr>
                        <w:rFonts w:hint="eastAsia"/>
                      </w:rPr>
                      <w:fldChar w:fldCharType="separate"/>
                    </w:r>
                    <w:r w:rsidR="004F0588">
                      <w:rPr>
                        <w:noProof/>
                      </w:rPr>
                      <w:t>- 4 -</w:t>
                    </w:r>
                    <w:r>
                      <w:rPr>
                        <w:rFonts w:hint="eastAsia"/>
                      </w:rPr>
                      <w:fldChar w:fldCharType="end"/>
                    </w:r>
                  </w:p>
                </w:txbxContent>
              </v:textbox>
              <w10:wrap anchorx="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4BC9" w:rsidRDefault="00206040">
    <w:pPr>
      <w:pStyle w:val="a3"/>
    </w:pPr>
    <w:r>
      <w:rPr>
        <w:noProof/>
        <w:sz w:val="1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D4BC9" w:rsidRDefault="00206040">
                          <w:pPr>
                            <w:pStyle w:val="a3"/>
                          </w:pPr>
                          <w:r>
                            <w:rPr>
                              <w:rFonts w:hint="eastAsia"/>
                            </w:rPr>
                            <w:fldChar w:fldCharType="begin"/>
                          </w:r>
                          <w:r>
                            <w:rPr>
                              <w:rFonts w:hint="eastAsia"/>
                            </w:rPr>
                            <w:instrText xml:space="preserve"> PAGE  \* MERGEFORMAT </w:instrText>
                          </w:r>
                          <w:r>
                            <w:rPr>
                              <w:rFonts w:hint="eastAsia"/>
                            </w:rPr>
                            <w:fldChar w:fldCharType="separate"/>
                          </w:r>
                          <w:r w:rsidR="004F0588">
                            <w:rPr>
                              <w:noProof/>
                            </w:rPr>
                            <w:t>- 1 -</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7" type="#_x0000_t202" style="position:absolute;margin-left:92.8pt;margin-top:0;width:2in;height:2in;z-index:251660288;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WTDYgIAABE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" filled="f" stroked="f" strokeweight=".5pt">
              <v:textbox style="mso-fit-shape-to-text:t" inset="0,0,0,0">
                <w:txbxContent>
                  <w:p w:rsidR="00CD4BC9" w:rsidRDefault="00206040">
                    <w:pPr>
                      <w:pStyle w:val="a3"/>
                    </w:pPr>
                    <w:r>
                      <w:rPr>
                        <w:rFonts w:hint="eastAsia"/>
                      </w:rPr>
                      <w:fldChar w:fldCharType="begin"/>
                    </w:r>
                    <w:r>
                      <w:rPr>
                        <w:rFonts w:hint="eastAsia"/>
                      </w:rPr>
                      <w:instrText xml:space="preserve"> PAGE  \* MERGEFORMAT </w:instrText>
                    </w:r>
                    <w:r>
                      <w:rPr>
                        <w:rFonts w:hint="eastAsia"/>
                      </w:rPr>
                      <w:fldChar w:fldCharType="separate"/>
                    </w:r>
                    <w:r w:rsidR="004F0588">
                      <w:rPr>
                        <w:noProof/>
                      </w:rPr>
                      <w:t>- 1 -</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6040" w:rsidRDefault="00206040">
      <w:r>
        <w:separator/>
      </w:r>
    </w:p>
  </w:footnote>
  <w:footnote w:type="continuationSeparator" w:id="0">
    <w:p w:rsidR="00206040" w:rsidRDefault="0020604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evenAndOddHeaders/>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CB85E28"/>
    <w:rsid w:val="00206040"/>
    <w:rsid w:val="004F0588"/>
    <w:rsid w:val="00CD4BC9"/>
    <w:rsid w:val="11CD2E99"/>
    <w:rsid w:val="1E8D6747"/>
    <w:rsid w:val="2D853024"/>
    <w:rsid w:val="4CB85E28"/>
    <w:rsid w:val="5C4B13F1"/>
    <w:rsid w:val="698E76A3"/>
    <w:rsid w:val="7E224C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D637C3BF-A07C-4ADA-B032-9EA6A9C61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rFonts w:ascii="宋体" w:hAnsi="宋体"/>
      <w:sz w:val="2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385</Words>
  <Characters>2198</Characters>
  <Application>Microsoft Office Word</Application>
  <DocSecurity>0</DocSecurity>
  <Lines>18</Lines>
  <Paragraphs>5</Paragraphs>
  <ScaleCrop>false</ScaleCrop>
  <Company/>
  <LinksUpToDate>false</LinksUpToDate>
  <CharactersWithSpaces>2578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梁姝</cp:lastModifiedBy>
  <cp:revision>2</cp:revision>
  <dcterms:created xsi:type="dcterms:W3CDTF">2021-02-24T02:16:00Z</dcterms:created>
  <dcterms:modified xsi:type="dcterms:W3CDTF">2021-02-24T02:16:00Z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