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E3D" w:rsidRPr="000C48D7" w:rsidRDefault="00276E3D" w:rsidP="000C48D7">
      <w:pPr>
        <w:pStyle w:val="a8"/>
        <w:ind w:firstLine="640"/>
      </w:pPr>
    </w:p>
    <w:p w:rsidR="00C52AA3" w:rsidRPr="000C48D7" w:rsidRDefault="00C52AA3" w:rsidP="000C48D7">
      <w:pPr>
        <w:pStyle w:val="a8"/>
        <w:ind w:firstLine="640"/>
      </w:pPr>
    </w:p>
    <w:p w:rsidR="00C52AA3" w:rsidRDefault="000C10F1" w:rsidP="000C48D7">
      <w:pPr>
        <w:pStyle w:val="a9"/>
      </w:pPr>
      <w:r>
        <w:rPr>
          <w:rFonts w:hint="eastAsia"/>
        </w:rPr>
        <w:t>最高人民法院</w:t>
      </w:r>
    </w:p>
    <w:p w:rsidR="000C48D7" w:rsidRDefault="000C10F1" w:rsidP="000C48D7">
      <w:pPr>
        <w:pStyle w:val="a9"/>
      </w:pPr>
      <w:r w:rsidRPr="000C48D7">
        <w:rPr>
          <w:rFonts w:hint="eastAsia"/>
        </w:rPr>
        <w:t>关于审理生态环境侵权纠纷案件</w:t>
      </w:r>
    </w:p>
    <w:p w:rsidR="00C52AA3" w:rsidRPr="000C48D7" w:rsidRDefault="000C10F1" w:rsidP="000C48D7">
      <w:pPr>
        <w:pStyle w:val="a9"/>
      </w:pPr>
      <w:r w:rsidRPr="000C48D7">
        <w:rPr>
          <w:rFonts w:hint="eastAsia"/>
        </w:rPr>
        <w:t>适用惩罚性赔偿的解释</w:t>
      </w:r>
    </w:p>
    <w:p w:rsidR="000C48D7" w:rsidRDefault="000C48D7" w:rsidP="000C48D7">
      <w:pPr>
        <w:pStyle w:val="a8"/>
        <w:ind w:firstLine="640"/>
      </w:pPr>
    </w:p>
    <w:p w:rsidR="000C48D7" w:rsidRDefault="000C48D7" w:rsidP="000C48D7">
      <w:pPr>
        <w:pStyle w:val="ab"/>
      </w:pPr>
      <w:r>
        <w:rPr>
          <w:rFonts w:hint="eastAsia"/>
        </w:rPr>
        <w:t>法释〔2022〕1号</w:t>
      </w:r>
    </w:p>
    <w:p w:rsidR="000C48D7" w:rsidRDefault="000C48D7" w:rsidP="000C48D7">
      <w:pPr>
        <w:pStyle w:val="a8"/>
        <w:ind w:firstLine="640"/>
      </w:pPr>
    </w:p>
    <w:p w:rsidR="00C52AA3" w:rsidRDefault="000C10F1" w:rsidP="000C48D7">
      <w:pPr>
        <w:pStyle w:val="ac"/>
        <w:ind w:left="630" w:right="630"/>
      </w:pPr>
      <w:r>
        <w:rPr>
          <w:rFonts w:hint="eastAsia"/>
        </w:rPr>
        <w:t>（2021年12月27日最高人民法院审判委员会第1858次会议通过，自2022年1月20日起施行）</w:t>
      </w:r>
    </w:p>
    <w:p w:rsidR="00C52AA3" w:rsidRDefault="00C52AA3" w:rsidP="000C48D7">
      <w:pPr>
        <w:pStyle w:val="a8"/>
        <w:ind w:firstLine="640"/>
      </w:pPr>
    </w:p>
    <w:p w:rsidR="00C52AA3" w:rsidRDefault="000C10F1" w:rsidP="000C48D7">
      <w:pPr>
        <w:pStyle w:val="a8"/>
        <w:ind w:firstLine="640"/>
      </w:pPr>
      <w:r>
        <w:rPr>
          <w:rFonts w:hint="eastAsia"/>
        </w:rPr>
        <w:t>为妥善审理生态环境侵权纠纷案件，全面加强生态环境保护，正确适用惩罚性赔偿，根据《中华人民共和国民法典》《中华人民共和国环境保护法》《中华人民共和国民事诉讼法》等相关法律规定,结合审判实践,制定本解释。</w:t>
      </w:r>
    </w:p>
    <w:p w:rsidR="00C52AA3" w:rsidRPr="00B349D6" w:rsidRDefault="000C10F1" w:rsidP="00B349D6">
      <w:pPr>
        <w:pStyle w:val="a8"/>
        <w:ind w:firstLine="640"/>
      </w:pPr>
      <w:r w:rsidRPr="00B349D6">
        <w:rPr>
          <w:rStyle w:val="aa"/>
          <w:rFonts w:hint="eastAsia"/>
        </w:rPr>
        <w:t>第一条</w:t>
      </w:r>
      <w:r w:rsidR="000C48D7" w:rsidRPr="00B349D6">
        <w:rPr>
          <w:rStyle w:val="aa"/>
          <w:rFonts w:hint="eastAsia"/>
        </w:rPr>
        <w:t xml:space="preserve">　</w:t>
      </w:r>
      <w:r w:rsidRPr="00B349D6">
        <w:rPr>
          <w:rFonts w:hint="eastAsia"/>
        </w:rPr>
        <w:t>人民法院审理生态环境侵权纠纷案件适用惩罚性赔偿，应当严格审慎，注重公平公正，依法保护民事主体合法权益，统筹生态环境保护和经济社会发展。</w:t>
      </w:r>
    </w:p>
    <w:p w:rsidR="00C52AA3" w:rsidRPr="00B349D6" w:rsidRDefault="000C10F1" w:rsidP="00B349D6">
      <w:pPr>
        <w:pStyle w:val="a8"/>
        <w:ind w:firstLine="640"/>
      </w:pPr>
      <w:r w:rsidRPr="00B349D6">
        <w:rPr>
          <w:rStyle w:val="aa"/>
          <w:rFonts w:hint="eastAsia"/>
        </w:rPr>
        <w:t>第二条</w:t>
      </w:r>
      <w:r w:rsidR="000C48D7" w:rsidRPr="00B349D6">
        <w:rPr>
          <w:rStyle w:val="aa"/>
          <w:rFonts w:hint="eastAsia"/>
        </w:rPr>
        <w:t xml:space="preserve">　</w:t>
      </w:r>
      <w:r w:rsidRPr="00B349D6">
        <w:rPr>
          <w:rFonts w:hint="eastAsia"/>
        </w:rPr>
        <w:t xml:space="preserve">因环境污染、生态破坏受到损害的自然人、法人或者非法人组织，依据民法典第一千二百三十二条的规定，请求判令侵权人承担惩罚性赔偿责任的，适用本解释。    </w:t>
      </w:r>
    </w:p>
    <w:p w:rsidR="00C52AA3" w:rsidRPr="00B349D6" w:rsidRDefault="000C10F1" w:rsidP="00B349D6">
      <w:pPr>
        <w:pStyle w:val="a8"/>
        <w:ind w:firstLine="640"/>
      </w:pPr>
      <w:r w:rsidRPr="00B349D6">
        <w:rPr>
          <w:rStyle w:val="aa"/>
          <w:rFonts w:hint="eastAsia"/>
        </w:rPr>
        <w:t>第三条</w:t>
      </w:r>
      <w:r w:rsidR="000C48D7" w:rsidRPr="00B349D6">
        <w:rPr>
          <w:rStyle w:val="aa"/>
          <w:rFonts w:hint="eastAsia"/>
        </w:rPr>
        <w:t xml:space="preserve">　</w:t>
      </w:r>
      <w:r w:rsidRPr="00B349D6">
        <w:rPr>
          <w:rFonts w:hint="eastAsia"/>
        </w:rPr>
        <w:t>被侵权人在生态环境侵权纠纷案件中请求惩罚性</w:t>
      </w:r>
      <w:r w:rsidRPr="00B349D6">
        <w:rPr>
          <w:rFonts w:hint="eastAsia"/>
        </w:rPr>
        <w:lastRenderedPageBreak/>
        <w:t>赔偿的，应当在起诉时明确赔偿数额以及所依据的事实和理由。</w:t>
      </w:r>
    </w:p>
    <w:p w:rsidR="00C52AA3" w:rsidRPr="00B349D6" w:rsidRDefault="000C10F1" w:rsidP="00B349D6">
      <w:pPr>
        <w:pStyle w:val="a8"/>
        <w:ind w:firstLine="640"/>
      </w:pPr>
      <w:r w:rsidRPr="00B349D6">
        <w:rPr>
          <w:rFonts w:hint="eastAsia"/>
        </w:rPr>
        <w:t>被侵权人在生态环境侵权纠纷案件中没有提出惩罚性赔偿的诉讼请求，诉讼终结后又基于同一污染环境、破坏生态事实另行起诉请求惩罚性赔偿的，人民法院不予受理。</w:t>
      </w:r>
    </w:p>
    <w:p w:rsidR="00C52AA3" w:rsidRPr="00B349D6" w:rsidRDefault="000C10F1" w:rsidP="00B349D6">
      <w:pPr>
        <w:pStyle w:val="a8"/>
        <w:ind w:firstLine="640"/>
      </w:pPr>
      <w:r w:rsidRPr="00B349D6">
        <w:rPr>
          <w:rStyle w:val="aa"/>
          <w:rFonts w:hint="eastAsia"/>
        </w:rPr>
        <w:t>第四条</w:t>
      </w:r>
      <w:r w:rsidR="000C48D7" w:rsidRPr="00B349D6">
        <w:rPr>
          <w:rStyle w:val="aa"/>
          <w:rFonts w:hint="eastAsia"/>
        </w:rPr>
        <w:t xml:space="preserve">　</w:t>
      </w:r>
      <w:r w:rsidRPr="00B349D6">
        <w:rPr>
          <w:rFonts w:hint="eastAsia"/>
        </w:rPr>
        <w:t>被侵权人主张侵权人承担惩罚性赔偿责任的，应当提供证据证明以下事实：</w:t>
      </w:r>
    </w:p>
    <w:p w:rsidR="00C52AA3" w:rsidRPr="00B349D6" w:rsidRDefault="000C10F1" w:rsidP="00B349D6">
      <w:pPr>
        <w:pStyle w:val="a8"/>
        <w:ind w:firstLine="640"/>
      </w:pPr>
      <w:r w:rsidRPr="00B349D6">
        <w:rPr>
          <w:rFonts w:hint="eastAsia"/>
        </w:rPr>
        <w:t>（一）侵权人污染环境、破坏生态的行为违反法律规定；</w:t>
      </w:r>
    </w:p>
    <w:p w:rsidR="00C52AA3" w:rsidRPr="00B349D6" w:rsidRDefault="000C10F1" w:rsidP="00B349D6">
      <w:pPr>
        <w:pStyle w:val="a8"/>
        <w:ind w:firstLine="640"/>
      </w:pPr>
      <w:r w:rsidRPr="00B349D6">
        <w:rPr>
          <w:rFonts w:hint="eastAsia"/>
        </w:rPr>
        <w:t>（二）侵权人具有污染环境、破坏生态的故意；</w:t>
      </w:r>
    </w:p>
    <w:p w:rsidR="00C52AA3" w:rsidRPr="00B349D6" w:rsidRDefault="000C10F1" w:rsidP="00B349D6">
      <w:pPr>
        <w:pStyle w:val="a8"/>
        <w:ind w:firstLine="640"/>
      </w:pPr>
      <w:r w:rsidRPr="00B349D6">
        <w:rPr>
          <w:rFonts w:hint="eastAsia"/>
        </w:rPr>
        <w:t>（三）侵权人污染环境、破坏生态的行为造成严重后果。</w:t>
      </w:r>
    </w:p>
    <w:p w:rsidR="00C52AA3" w:rsidRPr="00F3408E" w:rsidRDefault="000C10F1" w:rsidP="00B349D6">
      <w:pPr>
        <w:pStyle w:val="a8"/>
        <w:ind w:firstLine="640"/>
        <w:rPr>
          <w:spacing w:val="4"/>
        </w:rPr>
      </w:pPr>
      <w:r w:rsidRPr="00B349D6">
        <w:rPr>
          <w:rStyle w:val="aa"/>
          <w:rFonts w:hint="eastAsia"/>
        </w:rPr>
        <w:t>第五条</w:t>
      </w:r>
      <w:r w:rsidR="000C48D7" w:rsidRPr="00B349D6">
        <w:rPr>
          <w:rStyle w:val="aa"/>
          <w:rFonts w:hint="eastAsia"/>
        </w:rPr>
        <w:t xml:space="preserve">　</w:t>
      </w:r>
      <w:r w:rsidRPr="00B349D6">
        <w:rPr>
          <w:rFonts w:hint="eastAsia"/>
        </w:rPr>
        <w:t>人民法院认定侵权人污染环境、破坏生态的行为是否违反法律规定，应当以法律、法规为依据，</w:t>
      </w:r>
      <w:r w:rsidRPr="00F3408E">
        <w:rPr>
          <w:rFonts w:hint="eastAsia"/>
          <w:spacing w:val="4"/>
        </w:rPr>
        <w:t>可以参照规章的规定。</w:t>
      </w:r>
    </w:p>
    <w:p w:rsidR="00C52AA3" w:rsidRPr="00B349D6" w:rsidRDefault="000C10F1" w:rsidP="00B349D6">
      <w:pPr>
        <w:pStyle w:val="a8"/>
        <w:ind w:firstLine="640"/>
      </w:pPr>
      <w:r w:rsidRPr="00B349D6">
        <w:rPr>
          <w:rStyle w:val="aa"/>
          <w:rFonts w:hint="eastAsia"/>
        </w:rPr>
        <w:t>第六条</w:t>
      </w:r>
      <w:r w:rsidR="000C48D7" w:rsidRPr="00B349D6">
        <w:rPr>
          <w:rStyle w:val="aa"/>
          <w:rFonts w:hint="eastAsia"/>
        </w:rPr>
        <w:t xml:space="preserve">　</w:t>
      </w:r>
      <w:r w:rsidRPr="00B349D6">
        <w:rPr>
          <w:rFonts w:hint="eastAsia"/>
        </w:rPr>
        <w:t>人民法院认定侵权人是否具有污染环境、破坏生态的故意，应当根据侵权人的职业经历、专业背景或者经营范围，因同一或者同类行为受到行政处罚或者刑事追究的情况，以及污染物的种类，污染环境、破坏生态行为的方式等因素综合判断。</w:t>
      </w:r>
    </w:p>
    <w:p w:rsidR="00C52AA3" w:rsidRPr="00B349D6" w:rsidRDefault="000C10F1" w:rsidP="00B349D6">
      <w:pPr>
        <w:pStyle w:val="a8"/>
        <w:ind w:firstLine="640"/>
      </w:pPr>
      <w:r w:rsidRPr="00B349D6">
        <w:rPr>
          <w:rStyle w:val="aa"/>
          <w:rFonts w:hint="eastAsia"/>
        </w:rPr>
        <w:t>第七条</w:t>
      </w:r>
      <w:r w:rsidR="000C48D7" w:rsidRPr="00B349D6">
        <w:rPr>
          <w:rStyle w:val="aa"/>
          <w:rFonts w:hint="eastAsia"/>
        </w:rPr>
        <w:t xml:space="preserve">　</w:t>
      </w:r>
      <w:r w:rsidRPr="00B349D6">
        <w:rPr>
          <w:rFonts w:hint="eastAsia"/>
        </w:rPr>
        <w:t>具有下列情形之一的，人民法院应当认定侵权人具有污染环境、破坏生态的故意：</w:t>
      </w:r>
    </w:p>
    <w:p w:rsidR="00C52AA3" w:rsidRPr="00B349D6" w:rsidRDefault="000C10F1" w:rsidP="00B349D6">
      <w:pPr>
        <w:pStyle w:val="a8"/>
        <w:ind w:firstLine="640"/>
      </w:pPr>
      <w:r w:rsidRPr="00B349D6">
        <w:rPr>
          <w:rFonts w:hint="eastAsia"/>
        </w:rPr>
        <w:t>（一）因同一污染环境、破坏生态行为，已被人民法院认定构成破坏环境资源保护犯罪的；</w:t>
      </w:r>
    </w:p>
    <w:p w:rsidR="00C52AA3" w:rsidRPr="00B349D6" w:rsidRDefault="000C10F1" w:rsidP="00B349D6">
      <w:pPr>
        <w:pStyle w:val="a8"/>
        <w:ind w:firstLine="640"/>
      </w:pPr>
      <w:r w:rsidRPr="00B349D6">
        <w:rPr>
          <w:rFonts w:hint="eastAsia"/>
        </w:rPr>
        <w:t>（二）建设项目未依法进行环境影响评价，或者提供虚假材料导致环境影响评价文件严重失实，被行政主管部门责令停止建</w:t>
      </w:r>
      <w:r w:rsidRPr="00B349D6">
        <w:rPr>
          <w:rFonts w:hint="eastAsia"/>
        </w:rPr>
        <w:lastRenderedPageBreak/>
        <w:t>设后拒不执行的；</w:t>
      </w:r>
    </w:p>
    <w:p w:rsidR="00C52AA3" w:rsidRPr="00B349D6" w:rsidRDefault="000C10F1" w:rsidP="00B349D6">
      <w:pPr>
        <w:pStyle w:val="a8"/>
        <w:ind w:firstLine="640"/>
      </w:pPr>
      <w:r w:rsidRPr="00B349D6">
        <w:rPr>
          <w:rFonts w:hint="eastAsia"/>
        </w:rPr>
        <w:t>（三）未取得排污许可证排放污染物，被行政主管部门责令停止排污后拒不执行，或者超过污染物排放标准或者重点污染物排放总量控制指标排放污染物，经行政主管机关责令限制生产、停产整治或者给予其他行政处罚后仍不改正的；</w:t>
      </w:r>
    </w:p>
    <w:p w:rsidR="00C52AA3" w:rsidRPr="00B349D6" w:rsidRDefault="000C10F1" w:rsidP="00B349D6">
      <w:pPr>
        <w:pStyle w:val="a8"/>
        <w:ind w:firstLine="640"/>
      </w:pPr>
      <w:r w:rsidRPr="00B349D6">
        <w:rPr>
          <w:rFonts w:hint="eastAsia"/>
        </w:rPr>
        <w:t>（四）生产、使用国家明令禁止生产、使用的农药，被行政主管部门责令改正后拒不改正的；</w:t>
      </w:r>
    </w:p>
    <w:p w:rsidR="00C52AA3" w:rsidRPr="00F4769A" w:rsidRDefault="000C10F1" w:rsidP="00B349D6">
      <w:pPr>
        <w:pStyle w:val="a8"/>
        <w:ind w:firstLine="640"/>
        <w:rPr>
          <w:spacing w:val="4"/>
        </w:rPr>
      </w:pPr>
      <w:r w:rsidRPr="00B349D6">
        <w:rPr>
          <w:rFonts w:hint="eastAsia"/>
        </w:rPr>
        <w:t>（五）无危险废物经营许可证而从事收集、贮存、利用、处置危险废物经营活动，</w:t>
      </w:r>
      <w:r w:rsidRPr="00F4769A">
        <w:rPr>
          <w:rFonts w:hint="eastAsia"/>
          <w:spacing w:val="4"/>
        </w:rPr>
        <w:t>或者知道或者应当知道他人无许可证而将危险废物提供或者委托给其从事收集、贮存、利用、处置等活动的；</w:t>
      </w:r>
    </w:p>
    <w:p w:rsidR="00C52AA3" w:rsidRPr="00B349D6" w:rsidRDefault="000C10F1" w:rsidP="00B349D6">
      <w:pPr>
        <w:pStyle w:val="a8"/>
        <w:ind w:firstLine="640"/>
      </w:pPr>
      <w:r w:rsidRPr="00B349D6">
        <w:rPr>
          <w:rFonts w:hint="eastAsia"/>
        </w:rPr>
        <w:t>（六）将未经处理的废水、废气、废渣直接排放或者倾倒的；</w:t>
      </w:r>
    </w:p>
    <w:p w:rsidR="00C52AA3" w:rsidRPr="00B349D6" w:rsidRDefault="000C10F1" w:rsidP="00B349D6">
      <w:pPr>
        <w:pStyle w:val="a8"/>
        <w:ind w:firstLine="640"/>
      </w:pPr>
      <w:r w:rsidRPr="00B349D6">
        <w:rPr>
          <w:rFonts w:hint="eastAsia"/>
        </w:rPr>
        <w:t>（七）通过暗管、渗井、渗坑、灌注，篡改、伪造监测数据，或者以不正常运行防治污染设施等逃避监管的方式，违法排放污染物的；</w:t>
      </w:r>
    </w:p>
    <w:p w:rsidR="00C52AA3" w:rsidRPr="00B349D6" w:rsidRDefault="000C10F1" w:rsidP="00B349D6">
      <w:pPr>
        <w:pStyle w:val="a8"/>
        <w:ind w:firstLine="640"/>
      </w:pPr>
      <w:r w:rsidRPr="00B349D6">
        <w:rPr>
          <w:rFonts w:hint="eastAsia"/>
        </w:rPr>
        <w:t>（八）在相关自然保护区域、禁猎（渔）区、禁猎（渔）期使用禁止使用的猎捕工具、方法猎捕、杀害国家重点保护野生动物、破坏野生动物栖息地的；</w:t>
      </w:r>
    </w:p>
    <w:p w:rsidR="00C52AA3" w:rsidRPr="00B349D6" w:rsidRDefault="000C10F1" w:rsidP="00B349D6">
      <w:pPr>
        <w:pStyle w:val="a8"/>
        <w:ind w:firstLine="640"/>
      </w:pPr>
      <w:r w:rsidRPr="00B349D6">
        <w:rPr>
          <w:rFonts w:hint="eastAsia"/>
        </w:rPr>
        <w:t>（九）未取得勘查许可证、采矿许可证，或者采取破坏性方法勘查开采矿产资源的；</w:t>
      </w:r>
    </w:p>
    <w:p w:rsidR="00C52AA3" w:rsidRPr="00B349D6" w:rsidRDefault="000C10F1" w:rsidP="00B349D6">
      <w:pPr>
        <w:pStyle w:val="a8"/>
        <w:ind w:firstLine="640"/>
      </w:pPr>
      <w:r w:rsidRPr="00B349D6">
        <w:rPr>
          <w:rFonts w:hint="eastAsia"/>
        </w:rPr>
        <w:t>（十）其他故意情形。</w:t>
      </w:r>
    </w:p>
    <w:p w:rsidR="00C52AA3" w:rsidRPr="00B349D6" w:rsidRDefault="000C10F1" w:rsidP="00B349D6">
      <w:pPr>
        <w:pStyle w:val="a8"/>
        <w:ind w:firstLine="640"/>
      </w:pPr>
      <w:r w:rsidRPr="00B349D6">
        <w:rPr>
          <w:rStyle w:val="aa"/>
          <w:rFonts w:hint="eastAsia"/>
        </w:rPr>
        <w:t>第八条</w:t>
      </w:r>
      <w:r w:rsidR="00B349D6" w:rsidRPr="00B349D6">
        <w:rPr>
          <w:rStyle w:val="aa"/>
          <w:rFonts w:hint="eastAsia"/>
        </w:rPr>
        <w:t xml:space="preserve">　</w:t>
      </w:r>
      <w:r w:rsidRPr="00B349D6">
        <w:rPr>
          <w:rFonts w:hint="eastAsia"/>
        </w:rPr>
        <w:t>人民法院认定侵权人污染环境、破坏生态行为是否</w:t>
      </w:r>
      <w:r w:rsidRPr="00B349D6">
        <w:rPr>
          <w:rFonts w:hint="eastAsia"/>
        </w:rPr>
        <w:lastRenderedPageBreak/>
        <w:t>造成严重后果，应当根据污染环境、破坏生态行为的持续时间、地域范围，造成环境污染、生态破坏的范围和程度，以及造成的社会影响等因素综合判断。</w:t>
      </w:r>
    </w:p>
    <w:p w:rsidR="00C52AA3" w:rsidRPr="00B349D6" w:rsidRDefault="000C10F1" w:rsidP="00B349D6">
      <w:pPr>
        <w:pStyle w:val="a8"/>
        <w:ind w:firstLine="640"/>
      </w:pPr>
      <w:r w:rsidRPr="00B349D6">
        <w:rPr>
          <w:rFonts w:hint="eastAsia"/>
        </w:rPr>
        <w:t>侵权人污染环境、破坏生态行为造成他人死亡、健康严重损害，重大财产损失，生态环境严重损害或者重大不良社会影响的，人民法院应当认定为造成严重后果。</w:t>
      </w:r>
    </w:p>
    <w:p w:rsidR="00C52AA3" w:rsidRPr="00B349D6" w:rsidRDefault="000C10F1" w:rsidP="00B349D6">
      <w:pPr>
        <w:pStyle w:val="a8"/>
        <w:ind w:firstLine="640"/>
      </w:pPr>
      <w:r w:rsidRPr="00B349D6">
        <w:rPr>
          <w:rStyle w:val="aa"/>
          <w:rFonts w:hint="eastAsia"/>
        </w:rPr>
        <w:t>第九条</w:t>
      </w:r>
      <w:r w:rsidR="00B349D6" w:rsidRPr="00B349D6">
        <w:rPr>
          <w:rStyle w:val="aa"/>
          <w:rFonts w:hint="eastAsia"/>
        </w:rPr>
        <w:t xml:space="preserve">　</w:t>
      </w:r>
      <w:r w:rsidRPr="00B349D6">
        <w:rPr>
          <w:rFonts w:hint="eastAsia"/>
        </w:rPr>
        <w:t>人民法院确定惩罚性赔偿金数额，应当以环境污染、生态破坏造成的人身损害赔偿金、财产损失数额作为计算基数。</w:t>
      </w:r>
    </w:p>
    <w:p w:rsidR="00C52AA3" w:rsidRPr="00B349D6" w:rsidRDefault="000C10F1" w:rsidP="00B349D6">
      <w:pPr>
        <w:pStyle w:val="a8"/>
        <w:ind w:firstLine="640"/>
      </w:pPr>
      <w:r w:rsidRPr="00B349D6">
        <w:rPr>
          <w:rFonts w:hint="eastAsia"/>
        </w:rPr>
        <w:t>前款所称人身损害赔偿金、财产损失数额，依照民法典第一千一百七十九条、第一千一百八十四条规定予以确定。法律另有规定的，依照其规定。</w:t>
      </w:r>
    </w:p>
    <w:p w:rsidR="00C52AA3" w:rsidRPr="00B349D6" w:rsidRDefault="000C10F1" w:rsidP="00B349D6">
      <w:pPr>
        <w:pStyle w:val="a8"/>
        <w:ind w:firstLine="640"/>
      </w:pPr>
      <w:r w:rsidRPr="00B349D6">
        <w:rPr>
          <w:rStyle w:val="aa"/>
          <w:rFonts w:hint="eastAsia"/>
        </w:rPr>
        <w:t>第十条</w:t>
      </w:r>
      <w:r w:rsidR="00B349D6" w:rsidRPr="00B349D6">
        <w:rPr>
          <w:rStyle w:val="aa"/>
          <w:rFonts w:hint="eastAsia"/>
        </w:rPr>
        <w:t xml:space="preserve">　</w:t>
      </w:r>
      <w:r w:rsidRPr="00B349D6">
        <w:rPr>
          <w:rFonts w:hint="eastAsia"/>
        </w:rPr>
        <w:t>人民法院确定惩罚性赔偿金数额，应当综合考虑侵权人的恶意程度、侵权后果的严重程度、侵权人因污染环境、破坏生态行为所获得的利益或者侵权人所采取的修复措施及其效果等因素，但一般不超过人身损害赔偿金、财产损失数额的二倍。</w:t>
      </w:r>
    </w:p>
    <w:p w:rsidR="00C52AA3" w:rsidRPr="00B349D6" w:rsidRDefault="000C10F1" w:rsidP="00B349D6">
      <w:pPr>
        <w:pStyle w:val="a8"/>
        <w:ind w:firstLine="640"/>
      </w:pPr>
      <w:r w:rsidRPr="00B349D6">
        <w:rPr>
          <w:rFonts w:hint="eastAsia"/>
        </w:rPr>
        <w:t>因同一污染环境、破坏生态行为已经被行政机关给予罚款或者被人民法院判处罚金，侵权人主张免除惩罚性赔偿责任的，人民法院不予支持，但在确定惩罚性赔偿金数额时可以综合考虑。</w:t>
      </w:r>
    </w:p>
    <w:p w:rsidR="00C52AA3" w:rsidRPr="00B349D6" w:rsidRDefault="000C10F1" w:rsidP="00B349D6">
      <w:pPr>
        <w:pStyle w:val="a8"/>
        <w:ind w:firstLine="640"/>
      </w:pPr>
      <w:r w:rsidRPr="00B349D6">
        <w:rPr>
          <w:rStyle w:val="aa"/>
          <w:rFonts w:hint="eastAsia"/>
        </w:rPr>
        <w:t>第十一条</w:t>
      </w:r>
      <w:r w:rsidR="00B349D6" w:rsidRPr="00B349D6">
        <w:rPr>
          <w:rStyle w:val="aa"/>
          <w:rFonts w:hint="eastAsia"/>
        </w:rPr>
        <w:t xml:space="preserve">　</w:t>
      </w:r>
      <w:r w:rsidRPr="00B349D6">
        <w:rPr>
          <w:rFonts w:hint="eastAsia"/>
        </w:rPr>
        <w:t>侵权人因同一污染环境、破坏生态行为,应当承担包括惩罚性赔偿在内的民事责任、行政责任和刑事责任，其财产不足以支付的，应当优先用于承担民事责任。</w:t>
      </w:r>
    </w:p>
    <w:p w:rsidR="00C52AA3" w:rsidRPr="00B349D6" w:rsidRDefault="000C10F1" w:rsidP="00B349D6">
      <w:pPr>
        <w:pStyle w:val="a8"/>
        <w:ind w:firstLine="640"/>
      </w:pPr>
      <w:r w:rsidRPr="00B349D6">
        <w:rPr>
          <w:rFonts w:hint="eastAsia"/>
        </w:rPr>
        <w:t>侵权人因同一污染环境、破坏生态行为,应当承担包括惩罚</w:t>
      </w:r>
      <w:r w:rsidRPr="00B349D6">
        <w:rPr>
          <w:rFonts w:hint="eastAsia"/>
        </w:rPr>
        <w:lastRenderedPageBreak/>
        <w:t>性赔偿在内的民事责任，其财产不足以支付的，应当优先用于承担惩罚性赔偿以外的其他责任。</w:t>
      </w:r>
    </w:p>
    <w:p w:rsidR="00C52AA3" w:rsidRPr="00B349D6" w:rsidRDefault="000C10F1" w:rsidP="00B349D6">
      <w:pPr>
        <w:pStyle w:val="a8"/>
        <w:ind w:firstLine="640"/>
      </w:pPr>
      <w:r w:rsidRPr="00B349D6">
        <w:rPr>
          <w:rStyle w:val="aa"/>
          <w:rFonts w:hint="eastAsia"/>
        </w:rPr>
        <w:t>第十二条</w:t>
      </w:r>
      <w:r w:rsidR="00B349D6" w:rsidRPr="00B349D6">
        <w:rPr>
          <w:rStyle w:val="aa"/>
          <w:rFonts w:hint="eastAsia"/>
        </w:rPr>
        <w:t xml:space="preserve">　</w:t>
      </w:r>
      <w:r w:rsidRPr="00B349D6">
        <w:rPr>
          <w:rFonts w:hint="eastAsia"/>
        </w:rPr>
        <w:t>国家规定的机关或者法律规定的组织作为被侵权人代表，请求判令侵权人承担惩罚性赔偿责任的，人民法院可以参照前述规定予以处理。但惩罚性赔偿金数额的确定，应当以生态环境受到损害至修复完成期间服务功能丧失导致的损失、生态环境功能永久性损害造成的损失数额作为计算基数。</w:t>
      </w:r>
    </w:p>
    <w:p w:rsidR="00C52AA3" w:rsidRPr="00B349D6" w:rsidRDefault="000C10F1" w:rsidP="00B349D6">
      <w:pPr>
        <w:pStyle w:val="a8"/>
        <w:ind w:firstLine="640"/>
      </w:pPr>
      <w:r w:rsidRPr="00B349D6">
        <w:rPr>
          <w:rStyle w:val="aa"/>
          <w:rFonts w:hint="eastAsia"/>
        </w:rPr>
        <w:t>第十三条</w:t>
      </w:r>
      <w:r w:rsidR="00B349D6" w:rsidRPr="00B349D6">
        <w:rPr>
          <w:rStyle w:val="aa"/>
          <w:rFonts w:hint="eastAsia"/>
        </w:rPr>
        <w:t xml:space="preserve">　</w:t>
      </w:r>
      <w:r w:rsidRPr="00B349D6">
        <w:rPr>
          <w:rFonts w:hint="eastAsia"/>
        </w:rPr>
        <w:t>侵权行为实施地、损害结果发生地在中华人民共和国管辖海域内的海洋生态环境侵权纠纷案件惩罚性赔偿问题,另行规定。</w:t>
      </w:r>
    </w:p>
    <w:p w:rsidR="00C52AA3" w:rsidRPr="00B349D6" w:rsidRDefault="000C10F1" w:rsidP="00B349D6">
      <w:pPr>
        <w:pStyle w:val="a8"/>
        <w:ind w:firstLine="640"/>
      </w:pPr>
      <w:r w:rsidRPr="00B349D6">
        <w:rPr>
          <w:rStyle w:val="aa"/>
          <w:rFonts w:hint="eastAsia"/>
        </w:rPr>
        <w:t>第十四条</w:t>
      </w:r>
      <w:r w:rsidR="00B349D6" w:rsidRPr="00B349D6">
        <w:rPr>
          <w:rStyle w:val="aa"/>
          <w:rFonts w:hint="eastAsia"/>
        </w:rPr>
        <w:t xml:space="preserve">　</w:t>
      </w:r>
      <w:r w:rsidRPr="00B349D6">
        <w:rPr>
          <w:rFonts w:hint="eastAsia"/>
        </w:rPr>
        <w:t>本规定自2022年1月20日起施行。</w:t>
      </w:r>
      <w:bookmarkStart w:id="0" w:name="_GoBack"/>
      <w:bookmarkEnd w:id="0"/>
    </w:p>
    <w:sectPr w:rsidR="00C52AA3" w:rsidRPr="00B349D6" w:rsidSect="00555C36">
      <w:footerReference w:type="even" r:id="rId9"/>
      <w:footerReference w:type="default" r:id="rId10"/>
      <w:pgSz w:w="11906" w:h="16838" w:code="9"/>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B51" w:rsidRDefault="00B15B51">
      <w:r>
        <w:separator/>
      </w:r>
    </w:p>
  </w:endnote>
  <w:endnote w:type="continuationSeparator" w:id="0">
    <w:p w:rsidR="00B15B51" w:rsidRDefault="00B15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F6" w:rsidRDefault="00555C36" w:rsidP="00555C36">
    <w:pPr>
      <w:pStyle w:val="ae"/>
      <w:ind w:right="-378"/>
    </w:pPr>
    <w:r>
      <w:fldChar w:fldCharType="begin"/>
    </w:r>
    <w:r>
      <w:instrText xml:space="preserve"> PAGE  \* ArabicDash  \* MERGEFORMAT </w:instrText>
    </w:r>
    <w:r>
      <w:fldChar w:fldCharType="separate"/>
    </w:r>
    <w:r>
      <w:rPr>
        <w:noProof/>
      </w:rPr>
      <w:t>- 4 -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46B" w:rsidRPr="00555C36" w:rsidRDefault="00555C36" w:rsidP="00555C36">
    <w:pPr>
      <w:pStyle w:val="ad"/>
      <w:ind w:left="-378"/>
    </w:pPr>
    <w:r>
      <w:fldChar w:fldCharType="begin"/>
    </w:r>
    <w:r>
      <w:instrText xml:space="preserve"> PAGE  \* ArabicDash  \* MERGEFORMAT </w:instrText>
    </w:r>
    <w:r>
      <w:fldChar w:fldCharType="separate"/>
    </w:r>
    <w:r w:rsidR="008A6D00">
      <w:rPr>
        <w:noProof/>
      </w:rPr>
      <w:t>- 5 -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B51" w:rsidRDefault="00B15B51">
      <w:r>
        <w:separator/>
      </w:r>
    </w:p>
  </w:footnote>
  <w:footnote w:type="continuationSeparator" w:id="0">
    <w:p w:rsidR="00B15B51" w:rsidRDefault="00B15B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6AC3E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2B0DE72"/>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EC0C3DF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B96359C"/>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DB4D1A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F946F4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B0421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6ECC5A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11682704"/>
    <w:lvl w:ilvl="0">
      <w:start w:val="1"/>
      <w:numFmt w:val="decimal"/>
      <w:lvlText w:val="%1."/>
      <w:lvlJc w:val="left"/>
      <w:pPr>
        <w:tabs>
          <w:tab w:val="num" w:pos="360"/>
        </w:tabs>
        <w:ind w:left="360" w:hangingChars="200" w:hanging="360"/>
      </w:pPr>
    </w:lvl>
  </w:abstractNum>
  <w:abstractNum w:abstractNumId="9">
    <w:nsid w:val="FFFFFF89"/>
    <w:multiLevelType w:val="singleLevel"/>
    <w:tmpl w:val="AC5A762E"/>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YyNWIxNjUxNTg5MTAyMmRhODhlNjJlOTYyMGM1MWUifQ=="/>
  </w:docVars>
  <w:rsids>
    <w:rsidRoot w:val="002D6C55"/>
    <w:rsid w:val="000051BA"/>
    <w:rsid w:val="00007DC9"/>
    <w:rsid w:val="00022FF2"/>
    <w:rsid w:val="000246CF"/>
    <w:rsid w:val="00026B55"/>
    <w:rsid w:val="000300E0"/>
    <w:rsid w:val="000341E4"/>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10F1"/>
    <w:rsid w:val="000C2019"/>
    <w:rsid w:val="000C4793"/>
    <w:rsid w:val="000C48D7"/>
    <w:rsid w:val="000D7352"/>
    <w:rsid w:val="000E4EE9"/>
    <w:rsid w:val="000E5187"/>
    <w:rsid w:val="000E56CF"/>
    <w:rsid w:val="000E6D88"/>
    <w:rsid w:val="000F150B"/>
    <w:rsid w:val="000F2196"/>
    <w:rsid w:val="000F2D91"/>
    <w:rsid w:val="000F5EBA"/>
    <w:rsid w:val="00105524"/>
    <w:rsid w:val="00105721"/>
    <w:rsid w:val="00105EA6"/>
    <w:rsid w:val="001066EE"/>
    <w:rsid w:val="00106D59"/>
    <w:rsid w:val="001211C7"/>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1F051F"/>
    <w:rsid w:val="001F0DE5"/>
    <w:rsid w:val="002064F7"/>
    <w:rsid w:val="00206B2B"/>
    <w:rsid w:val="0021638E"/>
    <w:rsid w:val="002215C5"/>
    <w:rsid w:val="002216B9"/>
    <w:rsid w:val="0023259F"/>
    <w:rsid w:val="00233F94"/>
    <w:rsid w:val="00235183"/>
    <w:rsid w:val="00241E35"/>
    <w:rsid w:val="002428F9"/>
    <w:rsid w:val="0025530F"/>
    <w:rsid w:val="0025742F"/>
    <w:rsid w:val="002671B1"/>
    <w:rsid w:val="00271C80"/>
    <w:rsid w:val="00276E3D"/>
    <w:rsid w:val="00277543"/>
    <w:rsid w:val="00281EEF"/>
    <w:rsid w:val="0028710F"/>
    <w:rsid w:val="002A0E27"/>
    <w:rsid w:val="002A0E47"/>
    <w:rsid w:val="002A1765"/>
    <w:rsid w:val="002A1BB0"/>
    <w:rsid w:val="002A6513"/>
    <w:rsid w:val="002A7E25"/>
    <w:rsid w:val="002B5E8C"/>
    <w:rsid w:val="002C11D2"/>
    <w:rsid w:val="002D6C55"/>
    <w:rsid w:val="002E52C2"/>
    <w:rsid w:val="002E71C4"/>
    <w:rsid w:val="0030431D"/>
    <w:rsid w:val="00311EB0"/>
    <w:rsid w:val="00313AEE"/>
    <w:rsid w:val="0031621E"/>
    <w:rsid w:val="00327650"/>
    <w:rsid w:val="00333A39"/>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14A3"/>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D024E"/>
    <w:rsid w:val="004F5158"/>
    <w:rsid w:val="00506C84"/>
    <w:rsid w:val="005142A1"/>
    <w:rsid w:val="00517CAB"/>
    <w:rsid w:val="0052425D"/>
    <w:rsid w:val="00536EBF"/>
    <w:rsid w:val="0053713F"/>
    <w:rsid w:val="005433C2"/>
    <w:rsid w:val="005502F2"/>
    <w:rsid w:val="00555C36"/>
    <w:rsid w:val="00562083"/>
    <w:rsid w:val="0057423C"/>
    <w:rsid w:val="0058350A"/>
    <w:rsid w:val="00586344"/>
    <w:rsid w:val="00594376"/>
    <w:rsid w:val="005A3B1C"/>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47205"/>
    <w:rsid w:val="00661621"/>
    <w:rsid w:val="006711F4"/>
    <w:rsid w:val="00676EF6"/>
    <w:rsid w:val="0068140B"/>
    <w:rsid w:val="00685825"/>
    <w:rsid w:val="0069347C"/>
    <w:rsid w:val="006B086F"/>
    <w:rsid w:val="006B22C9"/>
    <w:rsid w:val="006D20A9"/>
    <w:rsid w:val="006E0F35"/>
    <w:rsid w:val="006E1FF4"/>
    <w:rsid w:val="006E7630"/>
    <w:rsid w:val="006F0A7E"/>
    <w:rsid w:val="006F6FC3"/>
    <w:rsid w:val="006F7D77"/>
    <w:rsid w:val="00715180"/>
    <w:rsid w:val="00720A73"/>
    <w:rsid w:val="00720CAF"/>
    <w:rsid w:val="00723C21"/>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A7FD3"/>
    <w:rsid w:val="007B2410"/>
    <w:rsid w:val="007C01D1"/>
    <w:rsid w:val="007C5705"/>
    <w:rsid w:val="007D13B8"/>
    <w:rsid w:val="007D77CE"/>
    <w:rsid w:val="00802CDC"/>
    <w:rsid w:val="00805E1D"/>
    <w:rsid w:val="008101F2"/>
    <w:rsid w:val="00813FEC"/>
    <w:rsid w:val="00814E29"/>
    <w:rsid w:val="00823C1E"/>
    <w:rsid w:val="00826D77"/>
    <w:rsid w:val="0083338D"/>
    <w:rsid w:val="00866250"/>
    <w:rsid w:val="008701AB"/>
    <w:rsid w:val="0087139A"/>
    <w:rsid w:val="00877798"/>
    <w:rsid w:val="008802DB"/>
    <w:rsid w:val="00881967"/>
    <w:rsid w:val="00885F48"/>
    <w:rsid w:val="00890F76"/>
    <w:rsid w:val="0089274E"/>
    <w:rsid w:val="008A08FA"/>
    <w:rsid w:val="008A6D00"/>
    <w:rsid w:val="008E70E5"/>
    <w:rsid w:val="008F50DB"/>
    <w:rsid w:val="008F5238"/>
    <w:rsid w:val="008F7723"/>
    <w:rsid w:val="00904BC8"/>
    <w:rsid w:val="00911248"/>
    <w:rsid w:val="00913A4E"/>
    <w:rsid w:val="00925F75"/>
    <w:rsid w:val="00962E70"/>
    <w:rsid w:val="00971108"/>
    <w:rsid w:val="0097410F"/>
    <w:rsid w:val="00974280"/>
    <w:rsid w:val="00974393"/>
    <w:rsid w:val="0097704C"/>
    <w:rsid w:val="00986E71"/>
    <w:rsid w:val="00992211"/>
    <w:rsid w:val="009942EB"/>
    <w:rsid w:val="009A1862"/>
    <w:rsid w:val="009A5861"/>
    <w:rsid w:val="009A78E1"/>
    <w:rsid w:val="009A7FCF"/>
    <w:rsid w:val="009B548C"/>
    <w:rsid w:val="009D0163"/>
    <w:rsid w:val="009D18B6"/>
    <w:rsid w:val="009E6F62"/>
    <w:rsid w:val="009E7F86"/>
    <w:rsid w:val="009F1030"/>
    <w:rsid w:val="009F1B6D"/>
    <w:rsid w:val="00A02039"/>
    <w:rsid w:val="00A04BD7"/>
    <w:rsid w:val="00A20EDD"/>
    <w:rsid w:val="00A212C7"/>
    <w:rsid w:val="00A23406"/>
    <w:rsid w:val="00A27EDD"/>
    <w:rsid w:val="00A35D41"/>
    <w:rsid w:val="00A40953"/>
    <w:rsid w:val="00A459E3"/>
    <w:rsid w:val="00A571FE"/>
    <w:rsid w:val="00A636AF"/>
    <w:rsid w:val="00A773EC"/>
    <w:rsid w:val="00AA03DB"/>
    <w:rsid w:val="00AA164E"/>
    <w:rsid w:val="00AA3B2D"/>
    <w:rsid w:val="00AA7268"/>
    <w:rsid w:val="00AB0D6D"/>
    <w:rsid w:val="00AB68DD"/>
    <w:rsid w:val="00AC2B0B"/>
    <w:rsid w:val="00AC4F2A"/>
    <w:rsid w:val="00AD35D8"/>
    <w:rsid w:val="00AD6BB8"/>
    <w:rsid w:val="00AF6D19"/>
    <w:rsid w:val="00B018B8"/>
    <w:rsid w:val="00B11B35"/>
    <w:rsid w:val="00B1436F"/>
    <w:rsid w:val="00B15B51"/>
    <w:rsid w:val="00B17FDC"/>
    <w:rsid w:val="00B22148"/>
    <w:rsid w:val="00B25C4D"/>
    <w:rsid w:val="00B312C5"/>
    <w:rsid w:val="00B32A99"/>
    <w:rsid w:val="00B349D6"/>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2AA3"/>
    <w:rsid w:val="00C53D36"/>
    <w:rsid w:val="00C57E0D"/>
    <w:rsid w:val="00C636EE"/>
    <w:rsid w:val="00C7181C"/>
    <w:rsid w:val="00C73C73"/>
    <w:rsid w:val="00C748B2"/>
    <w:rsid w:val="00C75F27"/>
    <w:rsid w:val="00C76A21"/>
    <w:rsid w:val="00C85BE4"/>
    <w:rsid w:val="00CA2B61"/>
    <w:rsid w:val="00CA3B61"/>
    <w:rsid w:val="00CB05CD"/>
    <w:rsid w:val="00CB268F"/>
    <w:rsid w:val="00CD046D"/>
    <w:rsid w:val="00CD15F8"/>
    <w:rsid w:val="00CD207F"/>
    <w:rsid w:val="00CF0128"/>
    <w:rsid w:val="00CF0812"/>
    <w:rsid w:val="00CF0F89"/>
    <w:rsid w:val="00CF245A"/>
    <w:rsid w:val="00CF41FE"/>
    <w:rsid w:val="00CF4321"/>
    <w:rsid w:val="00CF5E94"/>
    <w:rsid w:val="00CF7BE1"/>
    <w:rsid w:val="00D0443A"/>
    <w:rsid w:val="00D07F94"/>
    <w:rsid w:val="00D16B69"/>
    <w:rsid w:val="00D21DEB"/>
    <w:rsid w:val="00D30FFC"/>
    <w:rsid w:val="00D34B52"/>
    <w:rsid w:val="00D3514F"/>
    <w:rsid w:val="00D35821"/>
    <w:rsid w:val="00D5052C"/>
    <w:rsid w:val="00D6146B"/>
    <w:rsid w:val="00D6266A"/>
    <w:rsid w:val="00D91F48"/>
    <w:rsid w:val="00D937CE"/>
    <w:rsid w:val="00D97443"/>
    <w:rsid w:val="00DB1764"/>
    <w:rsid w:val="00DB2440"/>
    <w:rsid w:val="00DB3C8A"/>
    <w:rsid w:val="00DB5F18"/>
    <w:rsid w:val="00DC5F89"/>
    <w:rsid w:val="00DD0C51"/>
    <w:rsid w:val="00DD7AE6"/>
    <w:rsid w:val="00DF37D4"/>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11389"/>
    <w:rsid w:val="00F11CAA"/>
    <w:rsid w:val="00F14865"/>
    <w:rsid w:val="00F25943"/>
    <w:rsid w:val="00F3114F"/>
    <w:rsid w:val="00F3147A"/>
    <w:rsid w:val="00F31FF1"/>
    <w:rsid w:val="00F3408E"/>
    <w:rsid w:val="00F347B6"/>
    <w:rsid w:val="00F37571"/>
    <w:rsid w:val="00F44A15"/>
    <w:rsid w:val="00F46B3C"/>
    <w:rsid w:val="00F4769A"/>
    <w:rsid w:val="00F4779A"/>
    <w:rsid w:val="00F64D94"/>
    <w:rsid w:val="00F70562"/>
    <w:rsid w:val="00F744B5"/>
    <w:rsid w:val="00F74986"/>
    <w:rsid w:val="00F845F5"/>
    <w:rsid w:val="00F84788"/>
    <w:rsid w:val="00F865EA"/>
    <w:rsid w:val="00F90AF4"/>
    <w:rsid w:val="00F92C7B"/>
    <w:rsid w:val="00FA21BD"/>
    <w:rsid w:val="00FB46C7"/>
    <w:rsid w:val="00FC2B5F"/>
    <w:rsid w:val="00FD0009"/>
    <w:rsid w:val="00FD51B5"/>
    <w:rsid w:val="00FE78F7"/>
    <w:rsid w:val="00FF402A"/>
    <w:rsid w:val="00FF690A"/>
    <w:rsid w:val="60CB6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Pr>
      <w:rFonts w:ascii="宋体" w:hAnsi="Courier New" w:cs="Courier New"/>
      <w:szCs w:val="21"/>
    </w:rPr>
  </w:style>
  <w:style w:type="paragraph" w:styleId="a4">
    <w:name w:val="Balloon Text"/>
    <w:basedOn w:val="a"/>
    <w:link w:val="Char0"/>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Char1"/>
    <w:rsid w:val="00D6146B"/>
    <w:pPr>
      <w:tabs>
        <w:tab w:val="center" w:pos="4153"/>
        <w:tab w:val="right" w:pos="8306"/>
      </w:tabs>
      <w:snapToGrid w:val="0"/>
      <w:jc w:val="center"/>
    </w:pPr>
    <w:rPr>
      <w:sz w:val="18"/>
      <w:szCs w:val="18"/>
    </w:rPr>
  </w:style>
  <w:style w:type="character" w:styleId="a7">
    <w:name w:val="page number"/>
    <w:basedOn w:val="a0"/>
  </w:style>
  <w:style w:type="paragraph" w:customStyle="1" w:styleId="ParaCharCharCharCharCharCharChar">
    <w:name w:val="默认段落字体 Para Char Char Char Char Char Char Char"/>
    <w:basedOn w:val="a"/>
  </w:style>
  <w:style w:type="character" w:customStyle="1" w:styleId="Char1">
    <w:name w:val="页眉 Char"/>
    <w:basedOn w:val="a0"/>
    <w:link w:val="a6"/>
    <w:rsid w:val="00D6146B"/>
    <w:rPr>
      <w:kern w:val="2"/>
      <w:sz w:val="18"/>
      <w:szCs w:val="18"/>
    </w:rPr>
  </w:style>
  <w:style w:type="character" w:customStyle="1" w:styleId="Char0">
    <w:name w:val="批注框文本 Char"/>
    <w:basedOn w:val="a0"/>
    <w:link w:val="a4"/>
    <w:rPr>
      <w:kern w:val="2"/>
      <w:sz w:val="18"/>
      <w:szCs w:val="18"/>
    </w:rPr>
  </w:style>
  <w:style w:type="character" w:customStyle="1" w:styleId="Char">
    <w:name w:val="纯文本 Char"/>
    <w:basedOn w:val="a0"/>
    <w:link w:val="a3"/>
    <w:uiPriority w:val="99"/>
    <w:rPr>
      <w:rFonts w:ascii="宋体" w:hAnsi="Courier New" w:cs="Courier New"/>
      <w:kern w:val="2"/>
      <w:sz w:val="21"/>
      <w:szCs w:val="21"/>
    </w:rPr>
  </w:style>
  <w:style w:type="paragraph" w:customStyle="1" w:styleId="a8">
    <w:name w:val="法 正文"/>
    <w:qFormat/>
    <w:rsid w:val="0025530F"/>
    <w:pPr>
      <w:widowControl w:val="0"/>
      <w:spacing w:line="560" w:lineRule="exact"/>
      <w:ind w:firstLineChars="200" w:firstLine="200"/>
      <w:jc w:val="both"/>
    </w:pPr>
    <w:rPr>
      <w:rFonts w:ascii="仿宋_GB2312" w:eastAsia="仿宋_GB2312" w:hAnsi="宋体" w:cs="宋体"/>
      <w:kern w:val="2"/>
      <w:sz w:val="32"/>
      <w:szCs w:val="30"/>
    </w:rPr>
  </w:style>
  <w:style w:type="paragraph" w:customStyle="1" w:styleId="a9">
    <w:name w:val="法 标题"/>
    <w:qFormat/>
    <w:rsid w:val="0025530F"/>
    <w:pPr>
      <w:widowControl w:val="0"/>
      <w:spacing w:line="560" w:lineRule="exact"/>
      <w:jc w:val="center"/>
    </w:pPr>
    <w:rPr>
      <w:rFonts w:ascii="仿宋_GB2312" w:hAnsi="仿宋_GB2312" w:cs="仿宋_GB2312"/>
      <w:kern w:val="2"/>
      <w:sz w:val="44"/>
      <w:szCs w:val="32"/>
    </w:rPr>
  </w:style>
  <w:style w:type="character" w:customStyle="1" w:styleId="aa">
    <w:name w:val="黑体　三号"/>
    <w:basedOn w:val="a0"/>
    <w:uiPriority w:val="1"/>
    <w:qFormat/>
    <w:rsid w:val="0025530F"/>
    <w:rPr>
      <w:rFonts w:eastAsia="黑体"/>
      <w:sz w:val="32"/>
    </w:rPr>
  </w:style>
  <w:style w:type="paragraph" w:customStyle="1" w:styleId="ab">
    <w:name w:val="法 法释"/>
    <w:qFormat/>
    <w:rsid w:val="000C48D7"/>
    <w:pPr>
      <w:widowControl w:val="0"/>
      <w:spacing w:line="560" w:lineRule="exact"/>
      <w:jc w:val="center"/>
    </w:pPr>
    <w:rPr>
      <w:rFonts w:ascii="楷体_GB2312" w:eastAsia="楷体_GB2312" w:hAnsi="宋体" w:cs="宋体"/>
      <w:kern w:val="2"/>
      <w:sz w:val="32"/>
      <w:szCs w:val="30"/>
    </w:rPr>
  </w:style>
  <w:style w:type="paragraph" w:customStyle="1" w:styleId="ac">
    <w:name w:val="法 法释后"/>
    <w:qFormat/>
    <w:rsid w:val="000C48D7"/>
    <w:pPr>
      <w:widowControl w:val="0"/>
      <w:spacing w:line="560" w:lineRule="exact"/>
      <w:ind w:leftChars="300" w:left="300" w:rightChars="300" w:right="300"/>
      <w:jc w:val="both"/>
    </w:pPr>
    <w:rPr>
      <w:rFonts w:ascii="楷体_GB2312" w:eastAsia="楷体_GB2312" w:hAnsi="楷体" w:cs="宋体"/>
      <w:kern w:val="2"/>
      <w:sz w:val="32"/>
      <w:szCs w:val="30"/>
    </w:rPr>
  </w:style>
  <w:style w:type="paragraph" w:customStyle="1" w:styleId="1">
    <w:name w:val="样式1"/>
    <w:basedOn w:val="a6"/>
    <w:qFormat/>
    <w:rsid w:val="00FE78F7"/>
  </w:style>
  <w:style w:type="paragraph" w:customStyle="1" w:styleId="ad">
    <w:name w:val="法 页码 奇"/>
    <w:qFormat/>
    <w:rsid w:val="00555C36"/>
    <w:pPr>
      <w:widowControl w:val="0"/>
      <w:spacing w:line="560" w:lineRule="exact"/>
      <w:ind w:leftChars="-180" w:left="-180"/>
    </w:pPr>
    <w:rPr>
      <w:rFonts w:ascii="宋体"/>
      <w:kern w:val="2"/>
      <w:sz w:val="28"/>
      <w:szCs w:val="18"/>
    </w:rPr>
  </w:style>
  <w:style w:type="paragraph" w:customStyle="1" w:styleId="ae">
    <w:name w:val="法 页码 偶"/>
    <w:qFormat/>
    <w:rsid w:val="00555C36"/>
    <w:pPr>
      <w:widowControl w:val="0"/>
      <w:spacing w:line="560" w:lineRule="exact"/>
      <w:ind w:rightChars="-180" w:right="-180"/>
      <w:jc w:val="right"/>
    </w:pPr>
    <w:rPr>
      <w:rFonts w:ascii="宋体"/>
      <w:kern w:val="2"/>
      <w:sz w:val="2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67CF2-8E27-4B37-BBE6-3D2EFA3A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326</Words>
  <Characters>1861</Characters>
  <Application>Microsoft Office Word</Application>
  <DocSecurity>0</DocSecurity>
  <Lines>15</Lines>
  <Paragraphs>4</Paragraphs>
  <ScaleCrop>false</ScaleCrop>
  <Company>Lenovo (Beijing) Limited</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Ren</cp:lastModifiedBy>
  <cp:revision>41</cp:revision>
  <cp:lastPrinted>2014-04-03T09:04:00Z</cp:lastPrinted>
  <dcterms:created xsi:type="dcterms:W3CDTF">2022-01-12T03:32:00Z</dcterms:created>
  <dcterms:modified xsi:type="dcterms:W3CDTF">2022-07-05T02:41:00Z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E93CC8175A6E4C3698BE2D0BC0B321DA</vt:lpwstr>
  </property>
</Properties>
</file>