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rPr>
          <w:rFonts w:ascii="华文中宋" w:hAnsi="华文中宋" w:eastAsia="华文中宋" w:cs="宋体"/>
          <w:sz w:val="36"/>
          <w:szCs w:val="36"/>
        </w:rPr>
      </w:pPr>
    </w:p>
    <w:p>
      <w:pPr>
        <w:pStyle w:val="2"/>
        <w:spacing w:line="520" w:lineRule="exact"/>
        <w:jc w:val="center"/>
        <w:rPr>
          <w:rFonts w:ascii="华文中宋" w:hAnsi="华文中宋" w:eastAsia="华文中宋" w:cs="宋体"/>
          <w:sz w:val="36"/>
          <w:szCs w:val="36"/>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关于审理食品药品纠纷案件适用法律若干问题的规定</w:t>
      </w:r>
    </w:p>
    <w:p>
      <w:pPr>
        <w:pStyle w:val="2"/>
        <w:spacing w:line="560" w:lineRule="exact"/>
        <w:jc w:val="center"/>
        <w:rPr>
          <w:rFonts w:hint="eastAsia" w:cs="宋体" w:asciiTheme="majorEastAsia" w:hAnsiTheme="majorEastAsia" w:eastAsiaTheme="majorEastAsia"/>
          <w:sz w:val="44"/>
          <w:szCs w:val="44"/>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2013年12月9日最高人民法院审判委员会第1599次会议通过，根据2020年12月23日最高人民法院审判委员会第1823次会议通过的《最高人民法院关于修改〈最高人民法院关于在民事审判工作中适用《中华人民共和国工会法》若干问题的解释〉等二十七件民事类司法解释的决定》和2021年11月15日最高人民法院审判委员会第1850次会议通过的《最高人民法院关于修改〈最高人民法院关于审理食品药品纠纷案件适用法律若干问题的规定〉的决定》修正，该修正自2021年12月1日起施行）</w:t>
      </w:r>
    </w:p>
    <w:p>
      <w:pPr>
        <w:pStyle w:val="2"/>
        <w:spacing w:line="520" w:lineRule="exact"/>
        <w:ind w:firstLine="640" w:firstLineChars="200"/>
        <w:rPr>
          <w:rFonts w:hint="eastAsia" w:ascii="仿宋_GB2312" w:hAnsi="宋体" w:eastAsia="仿宋_GB2312" w:cs="宋体"/>
          <w:sz w:val="32"/>
          <w:szCs w:val="32"/>
        </w:rPr>
      </w:pP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为正确审理食品药品纠纷案件，根据《中华人民共和国民法典》《中华人民共和国消费者权益保护法》《中华人民共和国食品安全法》《中华人民共和国药品管理法》《中华人民共和国民事诉讼法》等法律的规定，结合审判实践，制定本规定。</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消费者因食品、药品纠纷提起民事诉讼，符合民事诉讼法规定受理条件的，人民法院应予受理。</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第二条  </w:t>
      </w:r>
      <w:r>
        <w:rPr>
          <w:rFonts w:hint="eastAsia" w:ascii="仿宋_GB2312" w:hAnsi="宋体" w:eastAsia="仿宋_GB2312" w:cs="宋体"/>
          <w:sz w:val="32"/>
          <w:szCs w:val="32"/>
        </w:rPr>
        <w:t>因食品、药品存在质量问题造成消费者损害，消费者可以分别起诉或者同时起诉销售者和生产者。</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消费者仅起诉销售者或者生产者的，必要时人民法院可以追加相关当事人参加诉讼。</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因食品、药品质量问题发生纠纷，购买者向生产者、销售者主张权利，生产者、销售者以购买者明知食品、药品存在质量问题而仍然购买为由进行抗辩的，人民法院不予支持。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第四条  </w:t>
      </w:r>
      <w:r>
        <w:rPr>
          <w:rFonts w:hint="eastAsia" w:ascii="仿宋_GB2312" w:hAnsi="宋体" w:eastAsia="仿宋_GB2312" w:cs="宋体"/>
          <w:sz w:val="32"/>
          <w:szCs w:val="32"/>
        </w:rPr>
        <w:t>食品、药品生产者、销售者提供给消费者的食品或者药品的赠品发生质量安全问题，造成消费者损害，消费者主张权利，生产者、销售者以消费者未对赠品支付对价为由进行免责抗辩的，人民法院不予支持。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消费者举证证明所购买食品、药品的事实以及所购食品、药品不符合合同的约定，主张食品、药品的生产者、销售者承担违约责任的，人民法院应予支持。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消费者举证证明因食用食品或者使用药品受到损害，初步证明损害与食用食品或者使用药品存在因果关系，并请求食品、药品的生产者、销售者承担侵权责任的，人民法院应予支持，但食品、药品的生产者、销售者能证明损害不是因产品不符合质量标准造成的除外。</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食品的生产者与销售者应当对于食品符合质量标准承担举证责任。认定食品是否安全，应当以国家标准为依据；对地方特色食品，没有国家标准的，应当以地方标准为依据。没有前述标准的，应当以食品安全法的相关规定为依据。</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食品、药品虽在销售前取得检验合格证明，且食用或者使用时尚在保质期内，但经检验确认产品不合格，生产者或者销售者以该食品、药品具有检验合格证明为由进行抗辩的，人民法院不予支持。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集中交易市场的开办者、柜台出租者、展销会举办者未履行食品安全法规定的审查、检查、报告等义务，使消费者的合法权益受到损害的，消费者请求集中交易市场的开办者、柜台出租者、展销会举办者承担连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第九条  </w:t>
      </w:r>
      <w:r>
        <w:rPr>
          <w:rFonts w:hint="eastAsia" w:ascii="仿宋_GB2312" w:hAnsi="宋体" w:eastAsia="仿宋_GB2312" w:cs="宋体"/>
          <w:sz w:val="32"/>
          <w:szCs w:val="32"/>
        </w:rPr>
        <w:t>消费者通过网络交易第三方平台购买食品、药品遭受损害，网络交易第三方平台提供者不能提供食品、药品的生产者或者销售者的真实名称、地址与有效联系方式，消费者请求网络交易第三方平台提供者承担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网络交易第三方平台提供者承担赔偿责任后，向生产者或者销售者行使追偿权的，人民法院应予支持。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网络交易第三方平台提供者知道或者应当知道食品、药品的生产者、销售者利用其平台侵害消费者合法权益，未采取必要措施，给消费者造成损害，消费者要求其与生产者、销售者承担连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第十条  </w:t>
      </w:r>
      <w:r>
        <w:rPr>
          <w:rFonts w:hint="eastAsia" w:ascii="仿宋_GB2312" w:hAnsi="宋体" w:eastAsia="仿宋_GB2312" w:cs="宋体"/>
          <w:sz w:val="32"/>
          <w:szCs w:val="32"/>
        </w:rPr>
        <w:t>未取得食品生产资质与销售资质的民事主体，挂靠具有相应资质的生产者与销售者，生产、销售食品，造成消费者损害，消费者请求挂靠者与被挂靠者承担连带责任的，人民法院应予支持。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消费者仅起诉挂靠者或者被挂靠者的，必要时人民法院可以追加相关当事人参加诉讼。</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第十一条  </w:t>
      </w:r>
      <w:r>
        <w:rPr>
          <w:rFonts w:hint="eastAsia" w:ascii="仿宋_GB2312" w:hAnsi="宋体" w:eastAsia="仿宋_GB2312" w:cs="宋体"/>
          <w:sz w:val="32"/>
          <w:szCs w:val="32"/>
        </w:rPr>
        <w:t>消费者因虚假广告推荐的食品、药品存在质量问题遭受损害，依据消费者权益保护法等法律相关规定请求广告经营者、广告发布者承担连带责任的，人民法院应予支持。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其他民事主体在虚假广告中向消费者推荐食品、药品，使消费者遭受损害，消费者依据消费者权益保护法等法律相关规定请求其与食品、药品的生产者、销售者承担连带责任的，人民法院应予支持。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第十二条  </w:t>
      </w:r>
      <w:r>
        <w:rPr>
          <w:rFonts w:hint="eastAsia" w:ascii="仿宋_GB2312" w:hAnsi="宋体" w:eastAsia="仿宋_GB2312" w:cs="宋体"/>
          <w:sz w:val="32"/>
          <w:szCs w:val="32"/>
        </w:rPr>
        <w:t>食品检验机构故意出具虚假检验报告，造成消费者损害，消费者请求其承担连带责任的，人民法院应予支持。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食品检验机构因过失出具不实检验报告，造成消费者损害，消费者请求其承担相应责任的，人民法院应予支持。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食品认证机构故意出具虚假认证，造成消费者损害，消费者请求其承担连带责任的，人民法院应予支持。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食品认证机构因过失出具不实认证，造成消费者损害，消费者请求其承担相应责任的，人民法院应予支持。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生产、销售的食品、药品存在质量问题，生产者与销售者需同时承担民事责任、行政责任和刑事责任，其财产不足以支付，当事人依照民法典等有关法律规定，请求食品、药品的生产者、销售者首先承担民事责任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生产不符合安全标准的食品或者销售明知是不符合安全标准的食品，消费者除要求赔偿损失外，依据食品安全法等法律规定向生产者、销售者主张赔偿金的，人民法院应予支持。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生产假药、劣药或者明知是假药、劣药仍然销售、使用的，受害人或者其近亲属除请求赔偿损失外，依据药品管理法等法律规定向生产者、销售者主张赔偿金的，人民法院应予支持。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第十六条  </w:t>
      </w:r>
      <w:r>
        <w:rPr>
          <w:rFonts w:hint="eastAsia" w:ascii="仿宋_GB2312" w:hAnsi="宋体" w:eastAsia="仿宋_GB2312" w:cs="宋体"/>
          <w:sz w:val="32"/>
          <w:szCs w:val="32"/>
        </w:rPr>
        <w:t>食品、药品的生产者与销售者以格式合同、通知、声明、告示等方式作出排除或者限制消费者权利，减轻或者免除经营者责任</w:t>
      </w:r>
      <w:bookmarkStart w:id="0" w:name="_GoBack"/>
      <w:bookmarkEnd w:id="0"/>
      <w:r>
        <w:rPr>
          <w:rFonts w:hint="eastAsia" w:ascii="仿宋_GB2312" w:hAnsi="宋体" w:eastAsia="仿宋_GB2312" w:cs="宋体"/>
          <w:sz w:val="32"/>
          <w:szCs w:val="32"/>
        </w:rPr>
        <w:t>、加重消费者责任等对消费者不公平、不合理的规定，消费者依法请求认定该内容无效的，人民法院应予支持。</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第十七条  </w:t>
      </w:r>
      <w:r>
        <w:rPr>
          <w:rFonts w:hint="eastAsia" w:ascii="仿宋_GB2312" w:hAnsi="宋体" w:eastAsia="仿宋_GB2312" w:cs="宋体"/>
          <w:sz w:val="32"/>
          <w:szCs w:val="32"/>
        </w:rPr>
        <w:t>消费者与化妆品、保健食品等产品的生产者、销售者、广告经营者、广告发布者、推荐者、检验机构等主体之间的纠纷，参照适用本规定。</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法律规定的机关和有关组织依法提起公益诉讼的，参照适用本规定。</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第十八条  </w:t>
      </w:r>
      <w:r>
        <w:rPr>
          <w:rFonts w:hint="eastAsia" w:ascii="仿宋_GB2312" w:hAnsi="宋体" w:eastAsia="仿宋_GB2312" w:cs="宋体"/>
          <w:sz w:val="32"/>
          <w:szCs w:val="32"/>
        </w:rPr>
        <w:t>本规定所称的“药品的生产者”包括药品上市许可持有人和药品生产企业，“药品的销售者”包括药品经营企业和医疗机构。</w:t>
      </w:r>
    </w:p>
    <w:p>
      <w:pPr>
        <w:pStyle w:val="2"/>
        <w:spacing w:line="520"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第十九条  </w:t>
      </w:r>
      <w:r>
        <w:rPr>
          <w:rFonts w:hint="eastAsia" w:ascii="仿宋_GB2312" w:hAnsi="黑体" w:eastAsia="仿宋_GB2312" w:cs="宋体"/>
          <w:sz w:val="32"/>
          <w:szCs w:val="32"/>
        </w:rPr>
        <w:t>本</w:t>
      </w:r>
      <w:r>
        <w:rPr>
          <w:rFonts w:hint="eastAsia" w:ascii="仿宋_GB2312" w:hAnsi="宋体" w:eastAsia="仿宋_GB2312" w:cs="宋体"/>
          <w:sz w:val="32"/>
          <w:szCs w:val="32"/>
        </w:rPr>
        <w:t>规定施行后人民法院正在审理的一审、二审案件适用本规定。</w:t>
      </w:r>
    </w:p>
    <w:p>
      <w:pPr>
        <w:pStyle w:val="2"/>
        <w:spacing w:line="520"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本规定施行前已经终审，本规定施行后当事人申请再审或者按照审判监督程序决定再审的案件，不适用本规定。</w:t>
      </w:r>
    </w:p>
    <w:p>
      <w:pPr>
        <w:pStyle w:val="2"/>
        <w:ind w:firstLine="420" w:firstLineChars="200"/>
        <w:rPr>
          <w:rFonts w:hint="eastAsia" w:ascii="仿宋_GB2312" w:hAnsi="宋体" w:eastAsia="仿宋_GB2312" w:cs="宋体"/>
        </w:rPr>
      </w:pPr>
    </w:p>
    <w:p>
      <w:pPr>
        <w:pStyle w:val="2"/>
        <w:rPr>
          <w:rFonts w:hint="eastAsia" w:hAnsi="宋体" w:cs="宋体"/>
        </w:rPr>
      </w:pPr>
    </w:p>
    <w:p>
      <w:pPr>
        <w:pStyle w:val="2"/>
        <w:rPr>
          <w:rFonts w:hint="eastAsia" w:hAnsi="宋体" w:cs="宋体"/>
        </w:rPr>
      </w:pPr>
    </w:p>
    <w:p>
      <w:pPr>
        <w:pStyle w:val="2"/>
        <w:rPr>
          <w:rFonts w:hint="eastAsia" w:hAnsi="宋体" w:cs="宋体"/>
        </w:rPr>
      </w:pPr>
    </w:p>
    <w:p>
      <w:pPr>
        <w:pStyle w:val="2"/>
        <w:rPr>
          <w:rFonts w:hint="eastAsia" w:hAnsi="宋体" w:cs="宋体"/>
        </w:rPr>
      </w:pPr>
    </w:p>
    <w:p>
      <w:pPr>
        <w:pStyle w:val="2"/>
        <w:rPr>
          <w:rFonts w:hint="eastAsia" w:hAnsi="宋体" w:cs="宋体"/>
        </w:rPr>
      </w:pPr>
    </w:p>
    <w:p>
      <w:pPr>
        <w:pStyle w:val="2"/>
        <w:rPr>
          <w:rFonts w:hint="eastAsia" w:hAnsi="宋体" w:cs="宋体"/>
        </w:rPr>
      </w:pPr>
    </w:p>
    <w:p>
      <w:pPr>
        <w:pStyle w:val="2"/>
        <w:rPr>
          <w:rFonts w:hint="eastAsia" w:hAnsi="宋体" w:cs="宋体"/>
        </w:rPr>
      </w:pPr>
    </w:p>
    <w:p>
      <w:pPr>
        <w:pStyle w:val="2"/>
        <w:rPr>
          <w:rFonts w:hint="eastAsia" w:hAnsi="宋体" w:cs="宋体"/>
        </w:rPr>
      </w:pPr>
    </w:p>
    <w:p>
      <w:pPr>
        <w:pStyle w:val="2"/>
        <w:rPr>
          <w:rFonts w:hint="eastAsia" w:hAnsi="宋体" w:cs="宋体"/>
        </w:rPr>
      </w:pPr>
    </w:p>
    <w:p>
      <w:pPr>
        <w:pStyle w:val="2"/>
        <w:rPr>
          <w:rFonts w:hAnsi="宋体" w:cs="宋体"/>
        </w:rPr>
      </w:pPr>
    </w:p>
    <w:p>
      <w:pPr>
        <w:pStyle w:val="2"/>
        <w:spacing w:line="520" w:lineRule="exact"/>
        <w:rPr>
          <w:rFonts w:hAnsi="宋体" w:cs="宋体"/>
          <w:u w:val="single"/>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tencil">
    <w:panose1 w:val="040409050D0802020404"/>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4097" o:spid="_x0000_s4097" o:spt="202" type="#_x0000_t202" style="position:absolute;left:0pt;margin-top:-10.35pt;height:25.9pt;width:38.55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6</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91CA7"/>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18C7"/>
    <w:rsid w:val="0025742F"/>
    <w:rsid w:val="002671B1"/>
    <w:rsid w:val="00271C80"/>
    <w:rsid w:val="002763B3"/>
    <w:rsid w:val="00277543"/>
    <w:rsid w:val="00281EEF"/>
    <w:rsid w:val="0028710F"/>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15C6"/>
    <w:rsid w:val="00422EA0"/>
    <w:rsid w:val="00424C9C"/>
    <w:rsid w:val="00431DB2"/>
    <w:rsid w:val="00432CA7"/>
    <w:rsid w:val="004358E6"/>
    <w:rsid w:val="00440B14"/>
    <w:rsid w:val="00447D9F"/>
    <w:rsid w:val="004549A7"/>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7DF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12AF"/>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5086"/>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138E"/>
    <w:rsid w:val="00C85BE4"/>
    <w:rsid w:val="00CA3B61"/>
    <w:rsid w:val="00CB05CD"/>
    <w:rsid w:val="00CB268F"/>
    <w:rsid w:val="00CB5F36"/>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402A"/>
    <w:rsid w:val="00FF690A"/>
    <w:rsid w:val="0AFB54FA"/>
    <w:rsid w:val="73473D06"/>
    <w:rsid w:val="7BC1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94A74-52B8-471E-9F48-08B620ECD7D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527</Words>
  <Characters>3008</Characters>
  <Lines>25</Lines>
  <Paragraphs>7</Paragraphs>
  <TotalTime>1</TotalTime>
  <ScaleCrop>false</ScaleCrop>
  <LinksUpToDate>false</LinksUpToDate>
  <CharactersWithSpaces>3528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2021-12-01T06:25:00Z</dcterms:created>
  <dc:creator>Lenovo User</dc:creator>
  <cp:lastModifiedBy>爱思思</cp:lastModifiedBy>
  <cp:lastPrinted>2014-04-03T09:04:00Z</cp:lastPrinted>
  <dcterms:modified xsi:type="dcterms:W3CDTF">2022-01-25T03:29:45Z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3FEE9615310C4A3C8AD0AA0A8D5E9F19</vt:lpwstr>
  </property>
</Properties>
</file>