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</w:t>
      </w:r>
      <w:r>
        <w:rPr>
          <w:rFonts w:hint="eastAsia"/>
        </w:rPr>
        <w:t>人民法院</w:t>
      </w:r>
    </w:p>
    <w:p>
      <w:pPr>
        <w:pStyle w:val="7"/>
        <w:rPr>
          <w:rFonts w:hint="eastAsia"/>
        </w:rPr>
      </w:pPr>
      <w:r>
        <w:t>关于对受委托管理、经营国有财产人员</w:t>
      </w:r>
    </w:p>
    <w:p>
      <w:pPr>
        <w:pStyle w:val="7"/>
        <w:rPr>
          <w:rFonts w:hint="eastAsia"/>
        </w:rPr>
      </w:pPr>
      <w:r>
        <w:t>挪用国有资金行为如何定罪问题的批复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2000年2月13日最高人民法</w:t>
      </w:r>
      <w:bookmarkStart w:id="0" w:name="_GoBack"/>
      <w:bookmarkEnd w:id="0"/>
      <w:r>
        <w:t>院审判委员会第1099次会议通过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2000</w:t>
      </w:r>
      <w:r>
        <w:t>年2月16日最高人民法院公告公布　自2000年2月24日起施行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江苏省高级人民法院：</w:t>
      </w:r>
    </w:p>
    <w:p>
      <w:pPr>
        <w:pStyle w:val="12"/>
        <w:jc w:val="both"/>
        <w:rPr>
          <w:rFonts w:hint="eastAsia"/>
        </w:rPr>
      </w:pPr>
      <w:r>
        <w:t>你院苏高法〔1999〕94号《关于受委托管理、经营国有财产的人员能否作为挪用公款罪主体问题的请示》收悉</w:t>
      </w:r>
      <w:r>
        <w:rPr>
          <w:rFonts w:hint="eastAsia"/>
        </w:rPr>
        <w:t>。经研究，答复如下：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对于受国家机关、国有公司、企业、事业单位、人民团体委托，管理、经营国有财产的非国家工作人员，利用职务上的便利，挪用国有资金归个人使用构成犯罪的，应当依照刑法第二百七十二条第一款的规定定罪处罚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B540B"/>
    <w:rsid w:val="00323D76"/>
    <w:rsid w:val="02380A4E"/>
    <w:rsid w:val="02C54CFB"/>
    <w:rsid w:val="042F174E"/>
    <w:rsid w:val="0751543E"/>
    <w:rsid w:val="08AA0C43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6BB540B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2017-11-01T10:48:00Z</dcterms:created>
  <dc:creator>Administrator</dc:creator>
  <cp:lastModifiedBy>Administrator</cp:lastModifiedBy>
  <dcterms:modified xsi:type="dcterms:W3CDTF">2017-11-01T13:51:51Z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