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关于对变造、倒卖变造邮票行为</w:t>
      </w:r>
    </w:p>
    <w:p>
      <w:pPr>
        <w:pStyle w:val="7"/>
        <w:rPr>
          <w:rFonts w:hint="eastAsia"/>
        </w:rPr>
      </w:pPr>
      <w:r>
        <w:t>如何适用法律问题的解释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6"/>
        <w:rPr>
          <w:rFonts w:hint="eastAsia"/>
        </w:rPr>
      </w:pPr>
      <w:r>
        <w:t>法释〔2000〕41号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2000年11月15日最高人民法院审判委员会第1139次会议通过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2000</w:t>
      </w:r>
      <w:r>
        <w:t>年12月5日最高人民法院公告公布　自20</w:t>
      </w:r>
      <w:bookmarkStart w:id="0" w:name="_GoBack"/>
      <w:bookmarkEnd w:id="0"/>
      <w:r>
        <w:t>00年12月9日起施行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t>为了正确适用刑法</w:t>
      </w:r>
      <w:r>
        <w:rPr>
          <w:rFonts w:hint="eastAsia"/>
        </w:rPr>
        <w:t>，</w:t>
      </w:r>
      <w:r>
        <w:t>现对审理变造、倒卖变造邮票案件如何适用法律问题解释如下：</w:t>
      </w:r>
    </w:p>
    <w:p>
      <w:pPr>
        <w:pStyle w:val="12"/>
        <w:rPr>
          <w:rFonts w:hint="eastAsia"/>
        </w:rPr>
      </w:pPr>
      <w:r>
        <w:t>对变造或者倒卖变造的邮票数额较大的</w:t>
      </w:r>
      <w:r>
        <w:rPr>
          <w:rFonts w:hint="eastAsia"/>
        </w:rPr>
        <w:t>，</w:t>
      </w:r>
      <w:r>
        <w:t>应当依照刑法第二百二十七条第一款的规定定罪处罚。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629E2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B3C3146"/>
    <w:rsid w:val="1C547AC8"/>
    <w:rsid w:val="20194FCD"/>
    <w:rsid w:val="211007F7"/>
    <w:rsid w:val="224D5C1E"/>
    <w:rsid w:val="253629E2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2017-11-01T10:40:00Z</dcterms:created>
  <dc:creator>Administrator</dc:creator>
  <cp:lastModifiedBy>Administrator</cp:lastModifiedBy>
  <dcterms:modified xsi:type="dcterms:W3CDTF">2017-11-01T13:46:29Z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