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关于当事人对行政机关作出的全民所有制</w:t>
      </w:r>
    </w:p>
    <w:p>
      <w:pPr>
        <w:pStyle w:val="7"/>
        <w:rPr>
          <w:rFonts w:hint="eastAsia"/>
        </w:rPr>
      </w:pPr>
      <w:r>
        <w:t>工业企业分立的决定不服提起诉讼人民法院</w:t>
      </w:r>
    </w:p>
    <w:p>
      <w:pPr>
        <w:pStyle w:val="7"/>
        <w:rPr>
          <w:rFonts w:hint="eastAsia"/>
        </w:rPr>
      </w:pPr>
      <w:r>
        <w:t>应作为何种行政案件受理问题的复函</w:t>
      </w:r>
    </w:p>
    <w:p>
      <w:pPr>
        <w:pStyle w:val="12"/>
        <w:jc w:val="both"/>
        <w:rPr>
          <w:rFonts w:hint="eastAsia" w:ascii="宋体" w:hAnsi="宋体" w:eastAsia="宋体" w:cs="宋体"/>
        </w:rPr>
      </w:pPr>
    </w:p>
    <w:p>
      <w:pPr>
        <w:pStyle w:val="22"/>
        <w:rPr>
          <w:rFonts w:hint="eastAsia"/>
        </w:rPr>
      </w:pPr>
      <w:r>
        <w:rPr>
          <w:rFonts w:hint="eastAsia"/>
        </w:rPr>
        <w:t>1994</w:t>
      </w:r>
      <w:r>
        <w:t>年6月27日</w:t>
      </w:r>
      <w:r>
        <w:rPr>
          <w:rFonts w:hint="eastAsia"/>
          <w:lang w:val="en-US" w:eastAsia="zh-CN"/>
        </w:rPr>
        <w:t xml:space="preserve">      </w:t>
      </w:r>
      <w:r>
        <w:t>法函〔1994〕34号</w:t>
      </w:r>
    </w:p>
    <w:p>
      <w:pPr>
        <w:pStyle w:val="12"/>
        <w:jc w:val="both"/>
        <w:rPr>
          <w:rFonts w:hint="eastAsia" w:ascii="宋体" w:hAnsi="宋体" w:eastAsia="宋体" w:cs="宋体"/>
        </w:rPr>
      </w:pPr>
    </w:p>
    <w:p>
      <w:pPr>
        <w:pStyle w:val="21"/>
        <w:rPr>
          <w:rFonts w:hint="eastAsia"/>
        </w:rPr>
      </w:pPr>
      <w:r>
        <w:t>山西省高级人民法院：</w:t>
      </w:r>
    </w:p>
    <w:p>
      <w:pPr>
        <w:pStyle w:val="12"/>
        <w:jc w:val="both"/>
        <w:rPr>
          <w:rFonts w:hint="eastAsia"/>
        </w:rPr>
      </w:pPr>
      <w:r>
        <w:t>你院〔1994〕晋法行字第14号请示收悉。经研究</w:t>
      </w:r>
      <w:r>
        <w:rPr>
          <w:rFonts w:hint="eastAsia"/>
        </w:rPr>
        <w:t>，</w:t>
      </w:r>
      <w:r>
        <w:t>我们认为</w:t>
      </w:r>
      <w:r>
        <w:rPr>
          <w:rFonts w:hint="eastAsia"/>
        </w:rPr>
        <w:t>，</w:t>
      </w:r>
      <w:r>
        <w:t>根据《中华人民共和国全民所有制工业</w:t>
      </w:r>
      <w:r>
        <w:rPr>
          <w:rFonts w:hint="eastAsia"/>
        </w:rPr>
        <w:t>企业法》第二条第二款、《全民所有制工业企业转换经营机制条例》第六条和《中华人民共和国行政诉讼法》第十一条第一款第</w:t>
      </w:r>
      <w:r>
        <w:rPr>
          <w:rFonts w:hint="eastAsia"/>
          <w:lang w:eastAsia="zh-CN"/>
        </w:rPr>
        <w:t>（</w:t>
      </w:r>
      <w:r>
        <w:rPr>
          <w:rFonts w:hint="eastAsia"/>
        </w:rPr>
        <w:t>三</w:t>
      </w:r>
      <w:r>
        <w:rPr>
          <w:rFonts w:hint="eastAsia"/>
          <w:lang w:eastAsia="zh-CN"/>
        </w:rPr>
        <w:t>）</w:t>
      </w:r>
      <w:r>
        <w:rPr>
          <w:rFonts w:hint="eastAsia"/>
        </w:rPr>
        <w:t>项的规定，当事人对行政机关强行作出的关于全民所有制工业企业分立的决定不服，依法向人民法院提起行政诉讼的，人民法院应作为“侵犯法律规定的经营自主权的”行政案件受理。</w:t>
      </w:r>
    </w:p>
    <w:p>
      <w:pPr>
        <w:pStyle w:val="12"/>
        <w:jc w:val="both"/>
        <w:rPr>
          <w:rFonts w:hint="eastAsia"/>
        </w:rPr>
      </w:pPr>
      <w:r>
        <w:rPr>
          <w:rFonts w:hint="eastAsia"/>
        </w:rPr>
        <w:t>此复。</w:t>
      </w:r>
    </w:p>
    <w:p>
      <w:pPr>
        <w:pStyle w:val="12"/>
        <w:jc w:val="both"/>
        <w:rPr>
          <w:rFonts w:hint="eastAsia"/>
        </w:rPr>
      </w:pPr>
      <w:r>
        <w:rPr>
          <w:rFonts w:hint="eastAsia"/>
        </w:rP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山西省高级人民法院</w:t>
      </w:r>
    </w:p>
    <w:p>
      <w:pPr>
        <w:pStyle w:val="7"/>
        <w:rPr>
          <w:rFonts w:hint="eastAsia"/>
        </w:rPr>
      </w:pPr>
      <w:r>
        <w:t>关于对当事人因不服行政机关作出的</w:t>
      </w:r>
    </w:p>
    <w:p>
      <w:pPr>
        <w:pStyle w:val="7"/>
        <w:rPr>
          <w:rFonts w:hint="eastAsia"/>
        </w:rPr>
      </w:pPr>
      <w:r>
        <w:t>企业分立的决定而起诉的</w:t>
      </w:r>
      <w:r>
        <w:rPr>
          <w:rFonts w:hint="eastAsia"/>
        </w:rPr>
        <w:t>，</w:t>
      </w:r>
      <w:r>
        <w:t>应否作为</w:t>
      </w:r>
    </w:p>
    <w:p>
      <w:pPr>
        <w:pStyle w:val="7"/>
        <w:rPr>
          <w:rFonts w:hint="eastAsia"/>
        </w:rPr>
      </w:pPr>
      <w:r>
        <w:t>行政案件受理的请示报告</w:t>
      </w:r>
    </w:p>
    <w:p>
      <w:pPr>
        <w:pStyle w:val="12"/>
        <w:jc w:val="both"/>
        <w:rPr>
          <w:rFonts w:hint="eastAsia" w:ascii="宋体" w:hAnsi="宋体" w:eastAsia="宋体" w:cs="宋体"/>
        </w:rPr>
      </w:pPr>
    </w:p>
    <w:p>
      <w:pPr>
        <w:pStyle w:val="22"/>
        <w:rPr>
          <w:rFonts w:hint="eastAsia"/>
        </w:rPr>
      </w:pPr>
      <w:r>
        <w:rPr>
          <w:rFonts w:hint="eastAsia"/>
        </w:rPr>
        <w:t>1994</w:t>
      </w:r>
      <w:r>
        <w:t>年4月23日</w:t>
      </w:r>
      <w:r>
        <w:rPr>
          <w:rFonts w:hint="eastAsia"/>
          <w:lang w:val="en-US" w:eastAsia="zh-CN"/>
        </w:rPr>
        <w:t xml:space="preserve">      </w:t>
      </w:r>
      <w:r>
        <w:t>〔199</w:t>
      </w:r>
      <w:bookmarkStart w:id="0" w:name="_GoBack"/>
      <w:bookmarkEnd w:id="0"/>
      <w:r>
        <w:t>4〕晋法行字第14号</w:t>
      </w:r>
    </w:p>
    <w:p>
      <w:pPr>
        <w:pStyle w:val="12"/>
        <w:jc w:val="both"/>
        <w:rPr>
          <w:rFonts w:hint="eastAsia" w:ascii="宋体" w:hAnsi="宋体" w:eastAsia="宋体" w:cs="宋体"/>
        </w:rPr>
      </w:pPr>
    </w:p>
    <w:p>
      <w:pPr>
        <w:pStyle w:val="21"/>
        <w:rPr>
          <w:rFonts w:hint="eastAsia"/>
        </w:rPr>
      </w:pPr>
      <w:r>
        <w:t>最高人民法院：</w:t>
      </w:r>
    </w:p>
    <w:p>
      <w:pPr>
        <w:pStyle w:val="12"/>
        <w:jc w:val="both"/>
        <w:rPr>
          <w:rFonts w:hint="eastAsia"/>
        </w:rPr>
      </w:pPr>
      <w:r>
        <w:t>我省运城地区彩印服务总公司因不服运城地区行政公署商业局对其作出的关于企业分立的决定</w:t>
      </w:r>
      <w:r>
        <w:rPr>
          <w:rFonts w:hint="eastAsia"/>
        </w:rPr>
        <w:t>，</w:t>
      </w:r>
      <w:r>
        <w:t>向法院提起行政诉讼。运城地区中级法院于1994年1月11日作出终审判决</w:t>
      </w:r>
      <w:r>
        <w:rPr>
          <w:rFonts w:hint="eastAsia"/>
        </w:rPr>
        <w:t>，</w:t>
      </w:r>
      <w:r>
        <w:t>以“不属法律、法规规定的可向人民法院提起诉讼的侵犯经营自主权行为”为由</w:t>
      </w:r>
      <w:r>
        <w:rPr>
          <w:rFonts w:hint="eastAsia"/>
        </w:rPr>
        <w:t>，</w:t>
      </w:r>
      <w:r>
        <w:t>撤销了一审原判</w:t>
      </w:r>
      <w:r>
        <w:rPr>
          <w:rFonts w:hint="eastAsia"/>
        </w:rPr>
        <w:t>，</w:t>
      </w:r>
      <w:r>
        <w:t>并驳回原告的诉讼请求</w:t>
      </w:r>
      <w:r>
        <w:rPr>
          <w:rFonts w:hint="eastAsia"/>
          <w:lang w:eastAsia="zh-CN"/>
        </w:rPr>
        <w:t>（</w:t>
      </w:r>
      <w:r>
        <w:t>案情见附件</w:t>
      </w:r>
      <w:r>
        <w:rPr>
          <w:rFonts w:hint="eastAsia"/>
          <w:lang w:eastAsia="zh-CN"/>
        </w:rPr>
        <w:t>）</w:t>
      </w:r>
      <w:r>
        <w:t>。运城地区彩印服务总公司向我院提出再审申请。在审查中</w:t>
      </w:r>
      <w:r>
        <w:rPr>
          <w:rFonts w:hint="eastAsia"/>
        </w:rPr>
        <w:t>，</w:t>
      </w:r>
      <w:r>
        <w:t>我们对当事人因不服行政机关作出的</w:t>
      </w:r>
      <w:r>
        <w:rPr>
          <w:rFonts w:hint="eastAsia"/>
        </w:rPr>
        <w:t>关于企业分立的决定而起诉的，应否作为侵犯企业经营自主权的案件予以受理存在分歧意见：</w:t>
      </w:r>
    </w:p>
    <w:p>
      <w:pPr>
        <w:pStyle w:val="12"/>
        <w:jc w:val="both"/>
        <w:rPr>
          <w:rFonts w:hint="eastAsia"/>
        </w:rPr>
      </w:pPr>
      <w:r>
        <w:rPr>
          <w:rFonts w:hint="eastAsia"/>
        </w:rPr>
        <w:t>第一种意见认为，根据《企业法》第十八条和《全民所有制工业企业转换经营机制条例》第四十二条第</w:t>
      </w:r>
      <w:r>
        <w:rPr>
          <w:rFonts w:hint="eastAsia"/>
          <w:lang w:eastAsia="zh-CN"/>
        </w:rPr>
        <w:t>（</w:t>
      </w:r>
      <w:r>
        <w:rPr>
          <w:rFonts w:hint="eastAsia"/>
        </w:rPr>
        <w:t>四</w:t>
      </w:r>
      <w:r>
        <w:rPr>
          <w:rFonts w:hint="eastAsia"/>
          <w:lang w:eastAsia="zh-CN"/>
        </w:rPr>
        <w:t>）</w:t>
      </w:r>
      <w:r>
        <w:rPr>
          <w:rFonts w:hint="eastAsia"/>
        </w:rPr>
        <w:t>项的规定，决定企业分立是政府及其职能部门的职责，是政府在实施宏观调控过程中对所属企业进行组织结构调整的行为，不属企业享有的经营自主权，即使不当，也构不成对企业经营自主权的侵犯，应依照《条例》第四十七条的规定，经当事人申诉后，由上级行政机关责令改正，法院受理此案无法律依据。</w:t>
      </w:r>
    </w:p>
    <w:p>
      <w:pPr>
        <w:pStyle w:val="12"/>
        <w:jc w:val="both"/>
        <w:rPr>
          <w:rFonts w:hint="eastAsia"/>
        </w:rPr>
      </w:pPr>
      <w:r>
        <w:rPr>
          <w:rFonts w:hint="eastAsia"/>
        </w:rPr>
        <w:t>第二种意见认为，根据《条例》第三十五条的规定，政府及有关部门对企业的分立只享有“批准权”，若违反企业分立的程序，采取行政手段强行将企业的分支机构分立出来，必然导致企业失去对合法取得的部分国家财产享有的经营管理权。这种行为是侵犯企业经营管理权的行为。《条例》第四十七条第一款第</w:t>
      </w:r>
      <w:r>
        <w:rPr>
          <w:rFonts w:hint="eastAsia"/>
          <w:lang w:eastAsia="zh-CN"/>
        </w:rPr>
        <w:t>（</w:t>
      </w:r>
      <w:r>
        <w:rPr>
          <w:rFonts w:hint="eastAsia"/>
        </w:rPr>
        <w:t>十一</w:t>
      </w:r>
      <w:r>
        <w:rPr>
          <w:rFonts w:hint="eastAsia"/>
          <w:lang w:eastAsia="zh-CN"/>
        </w:rPr>
        <w:t>）</w:t>
      </w:r>
      <w:r>
        <w:rPr>
          <w:rFonts w:hint="eastAsia"/>
        </w:rPr>
        <w:t>项规定：“未依照法定程序和条件，阻止或者强迫企业进行组织结构调整的”，政府及有关部门应承担相应的法律责任。根据《条例》第二十二条第二款的规定和参照山西省政府制定的《山西省全民所有制工业企业转换经营机制实施办法》第三十七条的规定，企业对此不服，既可向上级行政机关或监察部门申诉，也可直接向法院起诉，当事人起诉的，法院作为侵犯企业经营自主权的行政案件受理。</w:t>
      </w:r>
    </w:p>
    <w:p>
      <w:pPr>
        <w:pStyle w:val="12"/>
        <w:jc w:val="both"/>
        <w:rPr>
          <w:rFonts w:hint="eastAsia"/>
        </w:rPr>
      </w:pPr>
      <w:r>
        <w:t>我院行政庭倾向于第二种意见。经院审判委员会讨论认为</w:t>
      </w:r>
      <w:r>
        <w:rPr>
          <w:rFonts w:hint="eastAsia"/>
        </w:rPr>
        <w:t>，</w:t>
      </w:r>
      <w:r>
        <w:t>鉴于本案在社会上有一定影响</w:t>
      </w:r>
      <w:r>
        <w:rPr>
          <w:rFonts w:hint="eastAsia"/>
        </w:rPr>
        <w:t>，</w:t>
      </w:r>
      <w:r>
        <w:t>对所涉及的问题有关方面分歧意见较大。为慎重起见</w:t>
      </w:r>
      <w:r>
        <w:rPr>
          <w:rFonts w:hint="eastAsia"/>
        </w:rPr>
        <w:t>，</w:t>
      </w:r>
      <w:r>
        <w:t>特请示最高人民法院予以明确。</w:t>
      </w:r>
    </w:p>
    <w:p>
      <w:pPr>
        <w:pStyle w:val="12"/>
        <w:rPr>
          <w:rFonts w:hint="eastAsia"/>
        </w:rPr>
      </w:pPr>
      <w:r>
        <w:t>当否</w:t>
      </w:r>
      <w:r>
        <w:rPr>
          <w:rFonts w:hint="eastAsia"/>
        </w:rPr>
        <w:t>，</w:t>
      </w:r>
      <w:r>
        <w:t>请批复。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A0008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2BB3090"/>
    <w:rsid w:val="4AEF215E"/>
    <w:rsid w:val="4DA15956"/>
    <w:rsid w:val="4E7D2A86"/>
    <w:rsid w:val="501B3EB2"/>
    <w:rsid w:val="5027117E"/>
    <w:rsid w:val="52A0008B"/>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2017-11-02T10:29:00Z</dcterms:created>
  <dc:creator>Administrator</dc:creator>
  <cp:lastModifiedBy>Administrator</cp:lastModifiedBy>
  <dcterms:modified xsi:type="dcterms:W3CDTF">2017-11-02T11:12:12Z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