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《最高人民法院关于当事人申请财产保全错误造成案外人损失应否承担赔偿责任问题的解释》已于2005年7月4日由最高人民法院审判委员会第1358次会议通过，现予公布，自2005年8月24日起施行。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2005年8月1</w:t>
      </w:r>
      <w:bookmarkStart w:id="0" w:name="_GoBack"/>
      <w:bookmarkEnd w:id="0"/>
      <w:r>
        <w:rPr>
          <w:rFonts w:hint="eastAsia"/>
        </w:rPr>
        <w:t>5日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关于当事人申请财产保全错误造成案外人</w:t>
      </w:r>
    </w:p>
    <w:p>
      <w:pPr>
        <w:pStyle w:val="7"/>
        <w:rPr>
          <w:rFonts w:hint="eastAsia"/>
        </w:rPr>
      </w:pPr>
      <w:r>
        <w:t>损失应否承担赔偿责任问题的解释</w:t>
      </w:r>
    </w:p>
    <w:p>
      <w:pPr>
        <w:pStyle w:val="12"/>
        <w:rPr>
          <w:rFonts w:hint="eastAsia" w:ascii="宋体" w:hAnsi="宋体" w:eastAsia="宋体" w:cs="宋体"/>
        </w:rPr>
      </w:pPr>
    </w:p>
    <w:p>
      <w:pPr>
        <w:pStyle w:val="19"/>
        <w:rPr>
          <w:rFonts w:hint="eastAsia"/>
        </w:rPr>
      </w:pPr>
      <w:r>
        <w:t>法释〔2005〕11号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2005年7月4日最高人民法院审判委员会第1358次会议通过</w:t>
      </w:r>
      <w:r>
        <w:rPr>
          <w:rFonts w:hint="eastAsia"/>
          <w:lang w:eastAsia="zh-CN"/>
        </w:rPr>
        <w:t>　</w:t>
      </w:r>
      <w:r>
        <w:rPr>
          <w:rFonts w:hint="eastAsia"/>
        </w:rPr>
        <w:t>2005</w:t>
      </w:r>
      <w:r>
        <w:t>年8月15日最高</w:t>
      </w:r>
      <w:r>
        <w:rPr>
          <w:rFonts w:hint="eastAsia"/>
        </w:rPr>
        <w:t>人民法院公告公布　自</w:t>
      </w:r>
      <w:r>
        <w:t>2005年8月24日起施行</w:t>
      </w:r>
      <w:r>
        <w:rPr>
          <w:rFonts w:hint="eastAsia"/>
          <w:lang w:eastAsia="zh-CN"/>
        </w:rPr>
        <w:t>）</w:t>
      </w:r>
    </w:p>
    <w:p>
      <w:pPr>
        <w:pStyle w:val="12"/>
        <w:rPr>
          <w:rFonts w:hint="eastAsia" w:ascii="宋体" w:hAnsi="宋体" w:eastAsia="宋体" w:cs="宋体"/>
        </w:rPr>
      </w:pPr>
    </w:p>
    <w:p>
      <w:pPr>
        <w:pStyle w:val="12"/>
        <w:rPr>
          <w:rFonts w:hint="eastAsia"/>
        </w:rPr>
      </w:pPr>
      <w:r>
        <w:t>近来</w:t>
      </w:r>
      <w:r>
        <w:rPr>
          <w:rFonts w:hint="eastAsia"/>
        </w:rPr>
        <w:t>，</w:t>
      </w:r>
      <w:r>
        <w:t>一些法院就当事人申请财产保全错误造成案外人损失引发的赔偿纠纷案件应如何适用法律问题请示我院。经研究</w:t>
      </w:r>
      <w:r>
        <w:rPr>
          <w:rFonts w:hint="eastAsia"/>
        </w:rPr>
        <w:t>，</w:t>
      </w:r>
      <w:r>
        <w:t>现解释如下：</w:t>
      </w:r>
    </w:p>
    <w:p>
      <w:pPr>
        <w:pStyle w:val="12"/>
        <w:rPr>
          <w:rFonts w:hint="eastAsia"/>
        </w:rPr>
      </w:pPr>
      <w:r>
        <w:t>根据《中华人民共和国民法通则》第一百零六条、《中华人民共和国民事诉讼法》第九十六条等法律规定</w:t>
      </w:r>
      <w:r>
        <w:rPr>
          <w:rFonts w:hint="eastAsia"/>
        </w:rPr>
        <w:t>，</w:t>
      </w:r>
      <w:r>
        <w:t>当事人申请财产保全错误造成案外人损失的</w:t>
      </w:r>
      <w:r>
        <w:rPr>
          <w:rFonts w:hint="eastAsia"/>
        </w:rPr>
        <w:t>，</w:t>
      </w:r>
      <w:r>
        <w:t>应当依法承担赔偿责任。</w:t>
      </w:r>
    </w:p>
    <w:p>
      <w:pPr>
        <w:pStyle w:val="12"/>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F550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BE95207"/>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8F550F"/>
    <w:rsid w:val="75FA67F7"/>
    <w:rsid w:val="76FE0780"/>
    <w:rsid w:val="7A1809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2017-11-01T03:02:00Z</dcterms:created>
  <dc:creator>Administrator</dc:creator>
  <cp:lastModifiedBy>Administrator</cp:lastModifiedBy>
  <dcterms:modified xsi:type="dcterms:W3CDTF">2017-11-09T13:21:57Z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