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关于未被续聘的仲裁员在原参加审理的案件</w:t>
      </w:r>
    </w:p>
    <w:p>
      <w:pPr>
        <w:pStyle w:val="7"/>
        <w:rPr>
          <w:rFonts w:hint="eastAsia"/>
        </w:rPr>
      </w:pPr>
      <w:r>
        <w:t>裁决书上签名人民法院应当执行该</w:t>
      </w:r>
    </w:p>
    <w:p>
      <w:pPr>
        <w:pStyle w:val="7"/>
        <w:rPr>
          <w:rFonts w:hint="eastAsia"/>
        </w:rPr>
      </w:pPr>
      <w:r>
        <w:t>仲裁裁决书的批复</w:t>
      </w:r>
    </w:p>
    <w:p>
      <w:pPr>
        <w:pStyle w:val="12"/>
        <w:rPr>
          <w:rFonts w:hint="eastAsia" w:ascii="宋体" w:hAnsi="宋体" w:eastAsia="宋体" w:cs="宋体"/>
        </w:rPr>
      </w:pPr>
      <w:bookmarkStart w:id="0" w:name="_GoBack"/>
      <w:bookmarkEnd w:id="0"/>
    </w:p>
    <w:p>
      <w:pPr>
        <w:pStyle w:val="19"/>
        <w:rPr>
          <w:rFonts w:hint="eastAsia"/>
        </w:rPr>
      </w:pPr>
      <w:r>
        <w:t>法释〔1998〕21号</w:t>
      </w:r>
    </w:p>
    <w:p>
      <w:pPr>
        <w:pStyle w:val="12"/>
        <w:rPr>
          <w:rFonts w:hint="eastAsia" w:ascii="宋体" w:hAnsi="宋体" w:eastAsia="宋体" w:cs="宋体"/>
        </w:rPr>
      </w:pPr>
    </w:p>
    <w:p>
      <w:pPr>
        <w:pStyle w:val="17"/>
        <w:rPr>
          <w:rFonts w:hint="eastAsia"/>
          <w:lang w:eastAsia="zh-CN"/>
        </w:rPr>
      </w:pPr>
      <w:r>
        <w:rPr>
          <w:rFonts w:hint="eastAsia"/>
          <w:lang w:eastAsia="zh-CN"/>
        </w:rPr>
        <w:t>（</w:t>
      </w:r>
      <w:r>
        <w:t>1998年7月13日最高人民法院审判委员会第1001次会议通过</w:t>
      </w:r>
      <w:r>
        <w:rPr>
          <w:rFonts w:hint="eastAsia"/>
          <w:lang w:val="en-US" w:eastAsia="zh-CN"/>
        </w:rPr>
        <w:t>　</w:t>
      </w:r>
      <w:r>
        <w:rPr>
          <w:rFonts w:hint="eastAsia"/>
        </w:rPr>
        <w:t>1998</w:t>
      </w:r>
      <w:r>
        <w:t>年8月31日最高人民法院公告公布　自1998年9月5日起施行</w:t>
      </w:r>
      <w:r>
        <w:rPr>
          <w:rFonts w:hint="eastAsia"/>
          <w:lang w:eastAsia="zh-CN"/>
        </w:rPr>
        <w:t>）</w:t>
      </w:r>
    </w:p>
    <w:p>
      <w:pPr>
        <w:pStyle w:val="12"/>
        <w:rPr>
          <w:rFonts w:hint="eastAsia" w:ascii="宋体" w:hAnsi="宋体" w:eastAsia="宋体" w:cs="宋体"/>
        </w:rPr>
      </w:pPr>
    </w:p>
    <w:p>
      <w:pPr>
        <w:pStyle w:val="21"/>
        <w:rPr>
          <w:rFonts w:hint="eastAsia"/>
        </w:rPr>
      </w:pPr>
      <w:r>
        <w:t>广东省高级人民法院：</w:t>
      </w:r>
    </w:p>
    <w:p>
      <w:pPr>
        <w:pStyle w:val="12"/>
        <w:rPr>
          <w:rFonts w:hint="eastAsia"/>
        </w:rPr>
      </w:pPr>
      <w:r>
        <w:t>你院〔1996〕粤高法执函字第5</w:t>
      </w:r>
      <w:r>
        <w:rPr>
          <w:rFonts w:hint="eastAsia"/>
        </w:rPr>
        <w:t>号《关于未被续聘的仲裁员继续参加审理并作出裁决的案件，人民法院应否立案执行的请示》收悉。经研究，答复如下：</w:t>
      </w:r>
    </w:p>
    <w:p>
      <w:pPr>
        <w:pStyle w:val="12"/>
        <w:rPr>
          <w:rFonts w:hint="eastAsia"/>
        </w:rPr>
      </w:pPr>
      <w:r>
        <w:rPr>
          <w:rFonts w:hint="eastAsia"/>
        </w:rPr>
        <w:t>在中国国际经济贸易仲裁委员会深圳分会对深圳东鹏实业有限公司与中国化工建设深圳公司合资经营合同纠纷案件仲裁过程中，陈野被当事人指定为该案的仲裁员时具有合法的仲裁员身份，并参与了开庭审理工作。之后，新的仲裁员名册中没有陈野的名字，说明仲裁机构不再聘任陈野为仲裁员，但这只能约束仲裁机构以后审理的案件，不影响陈野在此前已合法成立的仲裁庭中的案件审理工作。其在该仲裁庭所作的〔</w:t>
      </w:r>
      <w:r>
        <w:t>94〕深国仲结字第47号裁决书上签</w:t>
      </w:r>
      <w:r>
        <w:rPr>
          <w:rFonts w:hint="eastAsia"/>
        </w:rPr>
        <w:t>字有效。深圳市中级人民法院应当根据当事人的申请对该仲裁裁决书予以执行。</w:t>
      </w:r>
    </w:p>
    <w:p>
      <w:pPr>
        <w:pStyle w:val="12"/>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B61CAE"/>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4EB61CAE"/>
    <w:rsid w:val="501B3EB2"/>
    <w:rsid w:val="5027117E"/>
    <w:rsid w:val="56C00D65"/>
    <w:rsid w:val="65586BE5"/>
    <w:rsid w:val="6D800228"/>
    <w:rsid w:val="6DAD6BF0"/>
    <w:rsid w:val="6E1B4105"/>
    <w:rsid w:val="6EB66F23"/>
    <w:rsid w:val="75732DE8"/>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2017-11-01T02:59:00Z</dcterms:created>
  <dc:creator>Administrator</dc:creator>
  <cp:lastModifiedBy>Administrator</cp:lastModifiedBy>
  <dcterms:modified xsi:type="dcterms:W3CDTF">2017-11-01T05:38:02Z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