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27D" w:rsidRPr="005A498B" w:rsidRDefault="0069027D" w:rsidP="005A498B">
      <w:pPr>
        <w:pStyle w:val="ab"/>
        <w:ind w:firstLine="640"/>
      </w:pPr>
    </w:p>
    <w:p w:rsidR="0069027D" w:rsidRPr="005A498B" w:rsidRDefault="0069027D" w:rsidP="005A498B">
      <w:pPr>
        <w:pStyle w:val="ab"/>
        <w:ind w:firstLine="640"/>
      </w:pPr>
    </w:p>
    <w:p w:rsidR="0069027D" w:rsidRPr="005A498B" w:rsidRDefault="006231D0" w:rsidP="005A498B">
      <w:pPr>
        <w:pStyle w:val="a8"/>
      </w:pPr>
      <w:r w:rsidRPr="005A498B">
        <w:rPr>
          <w:rFonts w:hint="eastAsia"/>
        </w:rPr>
        <w:t>最高人民法院</w:t>
      </w:r>
    </w:p>
    <w:p w:rsidR="0069027D" w:rsidRPr="005A498B" w:rsidRDefault="006231D0" w:rsidP="005A498B">
      <w:pPr>
        <w:pStyle w:val="a8"/>
      </w:pPr>
      <w:r w:rsidRPr="005A498B">
        <w:rPr>
          <w:rFonts w:hint="eastAsia"/>
        </w:rPr>
        <w:t>关于第一审知识产权民事、行政案件管辖的若干规定</w:t>
      </w:r>
    </w:p>
    <w:p w:rsidR="003B2E0D" w:rsidRDefault="003B2E0D" w:rsidP="005A498B">
      <w:pPr>
        <w:pStyle w:val="ab"/>
        <w:ind w:firstLine="640"/>
      </w:pPr>
    </w:p>
    <w:p w:rsidR="003B2E0D" w:rsidRPr="005A498B" w:rsidRDefault="003B2E0D" w:rsidP="005A498B">
      <w:pPr>
        <w:pStyle w:val="a9"/>
      </w:pPr>
      <w:r w:rsidRPr="005A498B">
        <w:rPr>
          <w:rFonts w:hint="eastAsia"/>
        </w:rPr>
        <w:t>法释〔2022〕13号</w:t>
      </w:r>
    </w:p>
    <w:p w:rsidR="003B2E0D" w:rsidRDefault="003B2E0D" w:rsidP="005A498B">
      <w:pPr>
        <w:pStyle w:val="ab"/>
        <w:ind w:firstLine="640"/>
      </w:pPr>
    </w:p>
    <w:p w:rsidR="0069027D" w:rsidRPr="005A498B" w:rsidRDefault="006231D0" w:rsidP="005A498B">
      <w:pPr>
        <w:pStyle w:val="aa"/>
        <w:ind w:left="630" w:right="630"/>
      </w:pPr>
      <w:r w:rsidRPr="005A498B">
        <w:rPr>
          <w:rFonts w:hint="eastAsia"/>
        </w:rPr>
        <w:t>（2021年12月27日最高人民法院审判委员会第1858次会议通过，自2022年5月1日起施行）</w:t>
      </w:r>
    </w:p>
    <w:p w:rsidR="0069027D" w:rsidRPr="005A498B" w:rsidRDefault="0069027D" w:rsidP="005A498B">
      <w:pPr>
        <w:pStyle w:val="ab"/>
        <w:ind w:firstLine="640"/>
      </w:pPr>
    </w:p>
    <w:p w:rsidR="0069027D" w:rsidRPr="005A498B" w:rsidRDefault="006231D0" w:rsidP="005A498B">
      <w:pPr>
        <w:pStyle w:val="ab"/>
        <w:ind w:firstLine="640"/>
      </w:pPr>
      <w:r w:rsidRPr="005A498B">
        <w:rPr>
          <w:rFonts w:hint="eastAsia"/>
        </w:rPr>
        <w:t>为进一步完善知识产权案件管辖制度，合理定位四级法院审判职能，根据《中华人民共和国民事诉讼法》《中华人民共和国行政诉讼法》等法律规定，结合知识产权审判实践，制定本规定。</w:t>
      </w:r>
    </w:p>
    <w:p w:rsidR="0069027D" w:rsidRPr="005A498B" w:rsidRDefault="006231D0" w:rsidP="005A498B">
      <w:pPr>
        <w:pStyle w:val="ab"/>
        <w:ind w:firstLine="640"/>
      </w:pPr>
      <w:r w:rsidRPr="005A498B">
        <w:rPr>
          <w:rStyle w:val="ac"/>
          <w:rFonts w:hint="eastAsia"/>
        </w:rPr>
        <w:t>第一条</w:t>
      </w:r>
      <w:r w:rsidR="005A498B" w:rsidRPr="005A498B">
        <w:rPr>
          <w:rStyle w:val="ac"/>
          <w:rFonts w:hint="eastAsia"/>
        </w:rPr>
        <w:t xml:space="preserve">　</w:t>
      </w:r>
      <w:r w:rsidRPr="005A498B">
        <w:rPr>
          <w:rFonts w:hint="eastAsia"/>
        </w:rPr>
        <w:t>发明专利、实用新型专利、植物新品种、集成电路布图设计、技术秘密、计算机软件的权属、侵权纠纷以及垄断纠纷第一审民事、行政案件由知识产权法院，省、自治区、直辖市人民政府所在地的中级人民法院和最高人民法院确定的中级人民法院管辖。</w:t>
      </w:r>
    </w:p>
    <w:p w:rsidR="0069027D" w:rsidRPr="005A498B" w:rsidRDefault="006231D0" w:rsidP="005A498B">
      <w:pPr>
        <w:pStyle w:val="ab"/>
        <w:ind w:firstLine="640"/>
      </w:pPr>
      <w:r w:rsidRPr="005A498B">
        <w:rPr>
          <w:rFonts w:hint="eastAsia"/>
        </w:rPr>
        <w:t>法律对知识产权法院的管辖有规定的，依照其规定。</w:t>
      </w:r>
    </w:p>
    <w:p w:rsidR="0069027D" w:rsidRPr="005A498B" w:rsidRDefault="006231D0" w:rsidP="005A498B">
      <w:pPr>
        <w:pStyle w:val="ab"/>
        <w:ind w:firstLine="640"/>
      </w:pPr>
      <w:r w:rsidRPr="005A498B">
        <w:rPr>
          <w:rStyle w:val="ac"/>
          <w:rFonts w:hint="eastAsia"/>
        </w:rPr>
        <w:t>第二条</w:t>
      </w:r>
      <w:r w:rsidR="005A498B" w:rsidRPr="005A498B">
        <w:rPr>
          <w:rStyle w:val="ac"/>
          <w:rFonts w:hint="eastAsia"/>
        </w:rPr>
        <w:t xml:space="preserve">　</w:t>
      </w:r>
      <w:r w:rsidRPr="005A498B">
        <w:rPr>
          <w:rFonts w:hint="eastAsia"/>
        </w:rPr>
        <w:t>外观设计专利的权属、侵权纠纷以及涉驰名商标认定第一审民事、行政案件由知识产权法院和中级人民法院管辖；</w:t>
      </w:r>
      <w:r w:rsidRPr="005A498B">
        <w:rPr>
          <w:rFonts w:hint="eastAsia"/>
        </w:rPr>
        <w:lastRenderedPageBreak/>
        <w:t>经最高人民法院批准，也可以由基层人民法院管辖，但外观设计专利行政案件除外。</w:t>
      </w:r>
    </w:p>
    <w:p w:rsidR="0069027D" w:rsidRPr="005A498B" w:rsidRDefault="006231D0" w:rsidP="005A498B">
      <w:pPr>
        <w:pStyle w:val="ab"/>
        <w:ind w:firstLine="640"/>
      </w:pPr>
      <w:r w:rsidRPr="005A498B">
        <w:rPr>
          <w:rFonts w:hint="eastAsia"/>
        </w:rPr>
        <w:t>本规定第一条及本条第一款规定之外的第一审知识产权案件诉讼标的额在最高人民法院确定的数额以上的，以及涉及国务院部门、县级以上地方人民政府或者海关行政行为的，由中级人民法院管辖。</w:t>
      </w:r>
    </w:p>
    <w:p w:rsidR="0069027D" w:rsidRPr="005A498B" w:rsidRDefault="006231D0" w:rsidP="005A498B">
      <w:pPr>
        <w:pStyle w:val="ab"/>
        <w:ind w:firstLine="640"/>
      </w:pPr>
      <w:r w:rsidRPr="005A498B">
        <w:rPr>
          <w:rFonts w:hint="eastAsia"/>
        </w:rPr>
        <w:t>法律对知识产权法院的管辖有规定的，依照其规定。</w:t>
      </w:r>
    </w:p>
    <w:p w:rsidR="0069027D" w:rsidRPr="005A498B" w:rsidRDefault="006231D0" w:rsidP="005A498B">
      <w:pPr>
        <w:pStyle w:val="ab"/>
        <w:ind w:firstLine="640"/>
      </w:pPr>
      <w:r w:rsidRPr="005A498B">
        <w:rPr>
          <w:rStyle w:val="ac"/>
          <w:rFonts w:hint="eastAsia"/>
        </w:rPr>
        <w:t>第三条</w:t>
      </w:r>
      <w:r w:rsidR="005A498B" w:rsidRPr="005A498B">
        <w:rPr>
          <w:rStyle w:val="ac"/>
          <w:rFonts w:hint="eastAsia"/>
        </w:rPr>
        <w:t xml:space="preserve">　</w:t>
      </w:r>
      <w:r w:rsidRPr="005A498B">
        <w:rPr>
          <w:rFonts w:hint="eastAsia"/>
        </w:rPr>
        <w:t>本规定第一条、第二条规定之外的第一审知识产权民事、行政案件，由最高人民法院确定的基层人民法院管辖。</w:t>
      </w:r>
    </w:p>
    <w:p w:rsidR="0069027D" w:rsidRPr="005A498B" w:rsidRDefault="006231D0" w:rsidP="005A498B">
      <w:pPr>
        <w:pStyle w:val="ab"/>
        <w:ind w:firstLine="640"/>
      </w:pPr>
      <w:r w:rsidRPr="005A498B">
        <w:rPr>
          <w:rStyle w:val="ac"/>
          <w:rFonts w:hint="eastAsia"/>
        </w:rPr>
        <w:t>第四条</w:t>
      </w:r>
      <w:r w:rsidR="005A498B" w:rsidRPr="005A498B">
        <w:rPr>
          <w:rStyle w:val="ac"/>
          <w:rFonts w:hint="eastAsia"/>
        </w:rPr>
        <w:t xml:space="preserve">　</w:t>
      </w:r>
      <w:r w:rsidRPr="005A498B">
        <w:rPr>
          <w:rFonts w:hint="eastAsia"/>
        </w:rPr>
        <w:t>对新类型、疑难复杂或者具有法律适用指导意义等知识产权民事、行政案件，上级人民法院可以依照诉讼法有关规定，根据下级人民法院报请或者自行决定提级审理。</w:t>
      </w:r>
    </w:p>
    <w:p w:rsidR="0069027D" w:rsidRPr="005A498B" w:rsidRDefault="006231D0" w:rsidP="005A498B">
      <w:pPr>
        <w:pStyle w:val="ab"/>
        <w:ind w:firstLine="640"/>
      </w:pPr>
      <w:r w:rsidRPr="005A498B">
        <w:rPr>
          <w:rFonts w:hint="eastAsia"/>
        </w:rPr>
        <w:t>确有必要将本院管辖的第一审知识产权民事案件交下级人民法院审理的，应当依照民事诉讼法第三十九条第一款的规定，逐案报请其上级人民法院批准。</w:t>
      </w:r>
    </w:p>
    <w:p w:rsidR="0069027D" w:rsidRPr="00FE6E43" w:rsidRDefault="006231D0" w:rsidP="005A498B">
      <w:pPr>
        <w:pStyle w:val="ab"/>
        <w:ind w:firstLine="640"/>
        <w:rPr>
          <w:spacing w:val="-3"/>
        </w:rPr>
      </w:pPr>
      <w:r w:rsidRPr="005A498B">
        <w:rPr>
          <w:rStyle w:val="ac"/>
          <w:rFonts w:hint="eastAsia"/>
        </w:rPr>
        <w:t>第五条</w:t>
      </w:r>
      <w:r w:rsidR="005A498B" w:rsidRPr="005A498B">
        <w:rPr>
          <w:rStyle w:val="ac"/>
          <w:rFonts w:hint="eastAsia"/>
        </w:rPr>
        <w:t xml:space="preserve">　</w:t>
      </w:r>
      <w:r w:rsidRPr="00FE6E43">
        <w:rPr>
          <w:rFonts w:hint="eastAsia"/>
          <w:spacing w:val="-3"/>
        </w:rPr>
        <w:t>依照本规定需要最高人民法院确定管辖或者调整管辖的诉讼标的额标准、区域范围的，应当层报最高人民法院批准。</w:t>
      </w:r>
    </w:p>
    <w:p w:rsidR="0069027D" w:rsidRPr="005A498B" w:rsidRDefault="006231D0" w:rsidP="005A498B">
      <w:pPr>
        <w:pStyle w:val="ab"/>
        <w:ind w:firstLine="640"/>
      </w:pPr>
      <w:r w:rsidRPr="005A498B">
        <w:rPr>
          <w:rStyle w:val="ac"/>
          <w:rFonts w:hint="eastAsia"/>
        </w:rPr>
        <w:t>第六条</w:t>
      </w:r>
      <w:r w:rsidR="005A498B" w:rsidRPr="005A498B">
        <w:rPr>
          <w:rStyle w:val="ac"/>
          <w:rFonts w:hint="eastAsia"/>
        </w:rPr>
        <w:t xml:space="preserve">　</w:t>
      </w:r>
      <w:r w:rsidRPr="005A498B">
        <w:rPr>
          <w:rFonts w:hint="eastAsia"/>
        </w:rPr>
        <w:t>本规定自2022年5月1日起施行。</w:t>
      </w:r>
    </w:p>
    <w:p w:rsidR="0069027D" w:rsidRPr="005A498B" w:rsidRDefault="006231D0" w:rsidP="0033649C">
      <w:pPr>
        <w:pStyle w:val="ab"/>
        <w:ind w:firstLine="640"/>
      </w:pPr>
      <w:r w:rsidRPr="005A498B">
        <w:rPr>
          <w:rFonts w:hint="eastAsia"/>
        </w:rPr>
        <w:t>最高人民法院此前发布的司法解释与本规定不一致的，以本规定为准。</w:t>
      </w:r>
      <w:bookmarkStart w:id="0" w:name="_GoBack"/>
      <w:bookmarkEnd w:id="0"/>
    </w:p>
    <w:sectPr w:rsidR="0069027D" w:rsidRPr="005A498B" w:rsidSect="00EF38E7">
      <w:footerReference w:type="even" r:id="rId9"/>
      <w:footerReference w:type="default" r:id="rId10"/>
      <w:pgSz w:w="11906" w:h="16838" w:code="9"/>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C59" w:rsidRDefault="00DE5C59">
      <w:r>
        <w:separator/>
      </w:r>
    </w:p>
  </w:endnote>
  <w:endnote w:type="continuationSeparator" w:id="0">
    <w:p w:rsidR="00DE5C59" w:rsidRDefault="00DE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E7" w:rsidRPr="00EF38E7" w:rsidRDefault="0033649C" w:rsidP="0033649C">
    <w:pPr>
      <w:pStyle w:val="ad"/>
      <w:ind w:right="-378"/>
    </w:pPr>
    <w:r>
      <w:fldChar w:fldCharType="begin"/>
    </w:r>
    <w:r>
      <w:instrText xml:space="preserve"> PAGE  \* ArabicDash  \* MERGEFORMAT </w:instrText>
    </w:r>
    <w:r>
      <w:fldChar w:fldCharType="separate"/>
    </w:r>
    <w:r>
      <w:rPr>
        <w:noProof/>
      </w:rPr>
      <w:t>- 2 -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E7" w:rsidRDefault="0033649C" w:rsidP="0033649C">
    <w:pPr>
      <w:pStyle w:val="ae"/>
      <w:ind w:left="-378"/>
    </w:pPr>
    <w:r>
      <w:fldChar w:fldCharType="begin"/>
    </w:r>
    <w:r>
      <w:instrText xml:space="preserve"> PAGE  \* ArabicDash  \* MERGEFORMAT </w:instrText>
    </w:r>
    <w:r>
      <w:fldChar w:fldCharType="separate"/>
    </w:r>
    <w:r>
      <w:rPr>
        <w:noProof/>
      </w:rPr>
      <w:t>- 1 -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C59" w:rsidRDefault="00DE5C59">
      <w:r>
        <w:separator/>
      </w:r>
    </w:p>
  </w:footnote>
  <w:footnote w:type="continuationSeparator" w:id="0">
    <w:p w:rsidR="00DE5C59" w:rsidRDefault="00DE5C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42A093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4E603D4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A9849CB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29A505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BC261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1022C6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208B75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898FD2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BE08D2A8"/>
    <w:lvl w:ilvl="0">
      <w:start w:val="1"/>
      <w:numFmt w:val="decimal"/>
      <w:lvlText w:val="%1."/>
      <w:lvlJc w:val="left"/>
      <w:pPr>
        <w:tabs>
          <w:tab w:val="num" w:pos="360"/>
        </w:tabs>
        <w:ind w:left="360" w:hangingChars="200" w:hanging="360"/>
      </w:pPr>
    </w:lvl>
  </w:abstractNum>
  <w:abstractNum w:abstractNumId="9">
    <w:nsid w:val="FFFFFF89"/>
    <w:multiLevelType w:val="singleLevel"/>
    <w:tmpl w:val="38AEFC50"/>
    <w:lvl w:ilvl="0">
      <w:start w:val="1"/>
      <w:numFmt w:val="bullet"/>
      <w:lvlText w:val=""/>
      <w:lvlJc w:val="left"/>
      <w:pPr>
        <w:tabs>
          <w:tab w:val="num" w:pos="360"/>
        </w:tabs>
        <w:ind w:left="360" w:hangingChars="20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7"/>
  </w:num>
  <w:num w:numId="6">
    <w:abstractNumId w:val="3"/>
  </w:num>
  <w:num w:numId="7">
    <w:abstractNumId w:val="2"/>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YyNWIxNjUxNTg5MTAyMmRhODhlNjJlOTYyMGM1MWU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2064F7"/>
    <w:rsid w:val="00206B2B"/>
    <w:rsid w:val="00215837"/>
    <w:rsid w:val="0021638E"/>
    <w:rsid w:val="002216B9"/>
    <w:rsid w:val="00230E79"/>
    <w:rsid w:val="0023259F"/>
    <w:rsid w:val="00233F94"/>
    <w:rsid w:val="00235183"/>
    <w:rsid w:val="00241E35"/>
    <w:rsid w:val="002428F9"/>
    <w:rsid w:val="00243F11"/>
    <w:rsid w:val="00245BB3"/>
    <w:rsid w:val="00253813"/>
    <w:rsid w:val="00254E9D"/>
    <w:rsid w:val="0025742F"/>
    <w:rsid w:val="002671B1"/>
    <w:rsid w:val="00271C80"/>
    <w:rsid w:val="00277543"/>
    <w:rsid w:val="00281EEF"/>
    <w:rsid w:val="0028710F"/>
    <w:rsid w:val="002A0E27"/>
    <w:rsid w:val="002A0E47"/>
    <w:rsid w:val="002A1765"/>
    <w:rsid w:val="002A1BB0"/>
    <w:rsid w:val="002A7E25"/>
    <w:rsid w:val="002B0422"/>
    <w:rsid w:val="002B5E8C"/>
    <w:rsid w:val="002C11D2"/>
    <w:rsid w:val="002D6C55"/>
    <w:rsid w:val="002E52C2"/>
    <w:rsid w:val="002E71C4"/>
    <w:rsid w:val="0030431D"/>
    <w:rsid w:val="00311EB0"/>
    <w:rsid w:val="00313AEE"/>
    <w:rsid w:val="0031621E"/>
    <w:rsid w:val="00327400"/>
    <w:rsid w:val="00327650"/>
    <w:rsid w:val="00334544"/>
    <w:rsid w:val="0033649C"/>
    <w:rsid w:val="003370AB"/>
    <w:rsid w:val="00337E4D"/>
    <w:rsid w:val="003407E4"/>
    <w:rsid w:val="00340D0A"/>
    <w:rsid w:val="00342C41"/>
    <w:rsid w:val="00344576"/>
    <w:rsid w:val="00356973"/>
    <w:rsid w:val="00356AAC"/>
    <w:rsid w:val="00357579"/>
    <w:rsid w:val="00357968"/>
    <w:rsid w:val="0036275A"/>
    <w:rsid w:val="003676EA"/>
    <w:rsid w:val="00374592"/>
    <w:rsid w:val="00384827"/>
    <w:rsid w:val="003854B1"/>
    <w:rsid w:val="003871CA"/>
    <w:rsid w:val="003902DE"/>
    <w:rsid w:val="00390825"/>
    <w:rsid w:val="00394561"/>
    <w:rsid w:val="00395336"/>
    <w:rsid w:val="003B2E0D"/>
    <w:rsid w:val="003B50D6"/>
    <w:rsid w:val="003C0536"/>
    <w:rsid w:val="003C5A9B"/>
    <w:rsid w:val="003D7E4C"/>
    <w:rsid w:val="003E737D"/>
    <w:rsid w:val="003F534F"/>
    <w:rsid w:val="003F661F"/>
    <w:rsid w:val="00403942"/>
    <w:rsid w:val="00422EA0"/>
    <w:rsid w:val="00424C9C"/>
    <w:rsid w:val="00431DB2"/>
    <w:rsid w:val="004320DD"/>
    <w:rsid w:val="00432CA7"/>
    <w:rsid w:val="0043356E"/>
    <w:rsid w:val="004358E6"/>
    <w:rsid w:val="00440B14"/>
    <w:rsid w:val="004418B3"/>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6EBF"/>
    <w:rsid w:val="0053713F"/>
    <w:rsid w:val="005433C2"/>
    <w:rsid w:val="005502F2"/>
    <w:rsid w:val="00562083"/>
    <w:rsid w:val="0057423C"/>
    <w:rsid w:val="0058350A"/>
    <w:rsid w:val="00586344"/>
    <w:rsid w:val="00594376"/>
    <w:rsid w:val="005A3B1C"/>
    <w:rsid w:val="005A498B"/>
    <w:rsid w:val="005A56F6"/>
    <w:rsid w:val="005A6C12"/>
    <w:rsid w:val="005C1972"/>
    <w:rsid w:val="005D3469"/>
    <w:rsid w:val="005E1766"/>
    <w:rsid w:val="005E2A4A"/>
    <w:rsid w:val="005E48B7"/>
    <w:rsid w:val="005F1B3D"/>
    <w:rsid w:val="005F2985"/>
    <w:rsid w:val="00602816"/>
    <w:rsid w:val="00604ACB"/>
    <w:rsid w:val="00606C5B"/>
    <w:rsid w:val="00612F03"/>
    <w:rsid w:val="006171AA"/>
    <w:rsid w:val="00617304"/>
    <w:rsid w:val="006178C3"/>
    <w:rsid w:val="00621BAF"/>
    <w:rsid w:val="006231D0"/>
    <w:rsid w:val="0062410E"/>
    <w:rsid w:val="00626CE8"/>
    <w:rsid w:val="0064737F"/>
    <w:rsid w:val="00661621"/>
    <w:rsid w:val="00663037"/>
    <w:rsid w:val="006711F4"/>
    <w:rsid w:val="006744EA"/>
    <w:rsid w:val="0068140B"/>
    <w:rsid w:val="00684B33"/>
    <w:rsid w:val="00685825"/>
    <w:rsid w:val="006869CB"/>
    <w:rsid w:val="0069027D"/>
    <w:rsid w:val="0069347C"/>
    <w:rsid w:val="006975AB"/>
    <w:rsid w:val="006B086F"/>
    <w:rsid w:val="006D2483"/>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A0EC4"/>
    <w:rsid w:val="007A51E0"/>
    <w:rsid w:val="007A6544"/>
    <w:rsid w:val="007A7FD3"/>
    <w:rsid w:val="007B2410"/>
    <w:rsid w:val="007C01D1"/>
    <w:rsid w:val="007C428E"/>
    <w:rsid w:val="007C5705"/>
    <w:rsid w:val="007D13B8"/>
    <w:rsid w:val="007D77CE"/>
    <w:rsid w:val="007F5CC1"/>
    <w:rsid w:val="00802CDC"/>
    <w:rsid w:val="00805E1D"/>
    <w:rsid w:val="00813FEC"/>
    <w:rsid w:val="00814E29"/>
    <w:rsid w:val="008230BD"/>
    <w:rsid w:val="00823C1E"/>
    <w:rsid w:val="00826135"/>
    <w:rsid w:val="00826D77"/>
    <w:rsid w:val="0083338D"/>
    <w:rsid w:val="00855283"/>
    <w:rsid w:val="008701AB"/>
    <w:rsid w:val="0087139A"/>
    <w:rsid w:val="008760A5"/>
    <w:rsid w:val="00877798"/>
    <w:rsid w:val="008802DB"/>
    <w:rsid w:val="00881967"/>
    <w:rsid w:val="00885F48"/>
    <w:rsid w:val="00890F76"/>
    <w:rsid w:val="0089274E"/>
    <w:rsid w:val="008979B8"/>
    <w:rsid w:val="008A08FA"/>
    <w:rsid w:val="008C0131"/>
    <w:rsid w:val="008E267C"/>
    <w:rsid w:val="008E70E5"/>
    <w:rsid w:val="008F50DB"/>
    <w:rsid w:val="008F5238"/>
    <w:rsid w:val="008F7723"/>
    <w:rsid w:val="00904BC8"/>
    <w:rsid w:val="00911248"/>
    <w:rsid w:val="00913A4E"/>
    <w:rsid w:val="00920305"/>
    <w:rsid w:val="00925F75"/>
    <w:rsid w:val="00961AAB"/>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1238F"/>
    <w:rsid w:val="00A20EDD"/>
    <w:rsid w:val="00A212C7"/>
    <w:rsid w:val="00A2340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D35D8"/>
    <w:rsid w:val="00AD6BB8"/>
    <w:rsid w:val="00AF6D19"/>
    <w:rsid w:val="00B018B8"/>
    <w:rsid w:val="00B06BB4"/>
    <w:rsid w:val="00B1436F"/>
    <w:rsid w:val="00B17FDC"/>
    <w:rsid w:val="00B22148"/>
    <w:rsid w:val="00B25C4D"/>
    <w:rsid w:val="00B32A99"/>
    <w:rsid w:val="00B364E6"/>
    <w:rsid w:val="00B47C30"/>
    <w:rsid w:val="00B47F03"/>
    <w:rsid w:val="00B62010"/>
    <w:rsid w:val="00B6417D"/>
    <w:rsid w:val="00B712AC"/>
    <w:rsid w:val="00B82084"/>
    <w:rsid w:val="00B95E1A"/>
    <w:rsid w:val="00BA18F5"/>
    <w:rsid w:val="00BA197C"/>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28DE"/>
    <w:rsid w:val="00D3514F"/>
    <w:rsid w:val="00D5052C"/>
    <w:rsid w:val="00D6266A"/>
    <w:rsid w:val="00D737E4"/>
    <w:rsid w:val="00D91F48"/>
    <w:rsid w:val="00D937CE"/>
    <w:rsid w:val="00D97443"/>
    <w:rsid w:val="00D97DB7"/>
    <w:rsid w:val="00DB1764"/>
    <w:rsid w:val="00DB2440"/>
    <w:rsid w:val="00DB3C8A"/>
    <w:rsid w:val="00DB5F18"/>
    <w:rsid w:val="00DC5F89"/>
    <w:rsid w:val="00DD0C51"/>
    <w:rsid w:val="00DD7AE6"/>
    <w:rsid w:val="00DE5800"/>
    <w:rsid w:val="00DE5C59"/>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61D7E"/>
    <w:rsid w:val="00E854B0"/>
    <w:rsid w:val="00E9403C"/>
    <w:rsid w:val="00E956E5"/>
    <w:rsid w:val="00E95DF8"/>
    <w:rsid w:val="00E97496"/>
    <w:rsid w:val="00EA21A5"/>
    <w:rsid w:val="00EB642C"/>
    <w:rsid w:val="00EB67B5"/>
    <w:rsid w:val="00EB6A82"/>
    <w:rsid w:val="00EB79DB"/>
    <w:rsid w:val="00EE1F86"/>
    <w:rsid w:val="00EE4190"/>
    <w:rsid w:val="00EF38E7"/>
    <w:rsid w:val="00F01156"/>
    <w:rsid w:val="00F11389"/>
    <w:rsid w:val="00F11CAA"/>
    <w:rsid w:val="00F14865"/>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11F3"/>
    <w:rsid w:val="00F92C7B"/>
    <w:rsid w:val="00FA21BD"/>
    <w:rsid w:val="00FB3DE0"/>
    <w:rsid w:val="00FB46C7"/>
    <w:rsid w:val="00FC2B5F"/>
    <w:rsid w:val="00FD0009"/>
    <w:rsid w:val="00FD51B5"/>
    <w:rsid w:val="00FE6E43"/>
    <w:rsid w:val="00FF402A"/>
    <w:rsid w:val="00FF690A"/>
    <w:rsid w:val="46E74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Pr>
      <w:rFonts w:ascii="宋体" w:hAnsi="Courier New" w:cs="Courier New"/>
      <w:szCs w:val="21"/>
    </w:rPr>
  </w:style>
  <w:style w:type="paragraph" w:styleId="a4">
    <w:name w:val="Balloon Text"/>
    <w:basedOn w:val="a"/>
    <w:link w:val="Char0"/>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Char1"/>
    <w:qFormat/>
    <w:rsid w:val="00EF38E7"/>
    <w:pPr>
      <w:tabs>
        <w:tab w:val="center" w:pos="4153"/>
        <w:tab w:val="right" w:pos="8306"/>
      </w:tabs>
      <w:snapToGrid w:val="0"/>
      <w:jc w:val="center"/>
    </w:pPr>
    <w:rPr>
      <w:sz w:val="18"/>
      <w:szCs w:val="18"/>
    </w:rPr>
  </w:style>
  <w:style w:type="character" w:styleId="a7">
    <w:name w:val="page number"/>
    <w:basedOn w:val="a0"/>
    <w:qFormat/>
  </w:style>
  <w:style w:type="paragraph" w:customStyle="1" w:styleId="ParaCharCharCharCharCharCharChar">
    <w:name w:val="默认段落字体 Para Char Char Char Char Char Char Char"/>
    <w:basedOn w:val="a"/>
  </w:style>
  <w:style w:type="character" w:customStyle="1" w:styleId="Char1">
    <w:name w:val="页眉 Char"/>
    <w:basedOn w:val="a0"/>
    <w:link w:val="a6"/>
    <w:qFormat/>
    <w:rsid w:val="00EF38E7"/>
    <w:rPr>
      <w:kern w:val="2"/>
      <w:sz w:val="18"/>
      <w:szCs w:val="18"/>
    </w:rPr>
  </w:style>
  <w:style w:type="character" w:customStyle="1" w:styleId="Char0">
    <w:name w:val="批注框文本 Char"/>
    <w:basedOn w:val="a0"/>
    <w:link w:val="a4"/>
    <w:qFormat/>
    <w:rPr>
      <w:kern w:val="2"/>
      <w:sz w:val="18"/>
      <w:szCs w:val="18"/>
    </w:rPr>
  </w:style>
  <w:style w:type="character" w:customStyle="1" w:styleId="Char">
    <w:name w:val="纯文本 Char"/>
    <w:basedOn w:val="a0"/>
    <w:link w:val="a3"/>
    <w:uiPriority w:val="99"/>
    <w:rPr>
      <w:rFonts w:ascii="宋体" w:hAnsi="Courier New" w:cs="Courier New"/>
      <w:kern w:val="2"/>
      <w:sz w:val="21"/>
      <w:szCs w:val="21"/>
    </w:rPr>
  </w:style>
  <w:style w:type="paragraph" w:customStyle="1" w:styleId="a8">
    <w:name w:val="法 标题"/>
    <w:qFormat/>
    <w:rsid w:val="003B2E0D"/>
    <w:pPr>
      <w:widowControl w:val="0"/>
      <w:spacing w:line="560" w:lineRule="exact"/>
      <w:jc w:val="center"/>
    </w:pPr>
    <w:rPr>
      <w:rFonts w:ascii="仿宋_GB2312" w:hAnsi="仿宋_GB2312" w:cs="仿宋_GB2312"/>
      <w:kern w:val="2"/>
      <w:sz w:val="44"/>
      <w:szCs w:val="32"/>
    </w:rPr>
  </w:style>
  <w:style w:type="paragraph" w:customStyle="1" w:styleId="a9">
    <w:name w:val="法 法释"/>
    <w:qFormat/>
    <w:rsid w:val="003B2E0D"/>
    <w:pPr>
      <w:widowControl w:val="0"/>
      <w:spacing w:line="560" w:lineRule="exact"/>
      <w:jc w:val="center"/>
    </w:pPr>
    <w:rPr>
      <w:rFonts w:ascii="楷体_GB2312" w:eastAsia="楷体_GB2312" w:hAnsi="宋体" w:cs="宋体"/>
      <w:kern w:val="2"/>
      <w:sz w:val="32"/>
      <w:szCs w:val="30"/>
    </w:rPr>
  </w:style>
  <w:style w:type="paragraph" w:customStyle="1" w:styleId="aa">
    <w:name w:val="法 法释后"/>
    <w:qFormat/>
    <w:rsid w:val="003B2E0D"/>
    <w:pPr>
      <w:widowControl w:val="0"/>
      <w:spacing w:line="560" w:lineRule="exact"/>
      <w:ind w:leftChars="300" w:left="300" w:rightChars="300" w:right="300"/>
      <w:jc w:val="both"/>
    </w:pPr>
    <w:rPr>
      <w:rFonts w:ascii="楷体_GB2312" w:eastAsia="楷体_GB2312" w:hAnsi="楷体" w:cs="宋体"/>
      <w:kern w:val="2"/>
      <w:sz w:val="32"/>
      <w:szCs w:val="30"/>
    </w:rPr>
  </w:style>
  <w:style w:type="paragraph" w:customStyle="1" w:styleId="ab">
    <w:name w:val="法 正文"/>
    <w:qFormat/>
    <w:rsid w:val="003B2E0D"/>
    <w:pPr>
      <w:widowControl w:val="0"/>
      <w:spacing w:line="560" w:lineRule="exact"/>
      <w:ind w:firstLineChars="200" w:firstLine="200"/>
      <w:jc w:val="both"/>
    </w:pPr>
    <w:rPr>
      <w:rFonts w:ascii="仿宋_GB2312" w:eastAsia="仿宋_GB2312" w:hAnsi="宋体" w:cs="宋体"/>
      <w:kern w:val="2"/>
      <w:sz w:val="32"/>
      <w:szCs w:val="30"/>
    </w:rPr>
  </w:style>
  <w:style w:type="character" w:customStyle="1" w:styleId="ac">
    <w:name w:val="黑体　三号"/>
    <w:basedOn w:val="a0"/>
    <w:uiPriority w:val="1"/>
    <w:qFormat/>
    <w:rsid w:val="003B2E0D"/>
    <w:rPr>
      <w:rFonts w:eastAsia="黑体"/>
      <w:sz w:val="32"/>
    </w:rPr>
  </w:style>
  <w:style w:type="paragraph" w:customStyle="1" w:styleId="ad">
    <w:name w:val="法 页码 偶"/>
    <w:qFormat/>
    <w:rsid w:val="0033649C"/>
    <w:pPr>
      <w:widowControl w:val="0"/>
      <w:spacing w:line="560" w:lineRule="exact"/>
      <w:ind w:rightChars="-180" w:right="-180"/>
      <w:jc w:val="right"/>
    </w:pPr>
    <w:rPr>
      <w:rFonts w:ascii="宋体"/>
      <w:kern w:val="2"/>
      <w:sz w:val="28"/>
      <w:szCs w:val="18"/>
    </w:rPr>
  </w:style>
  <w:style w:type="paragraph" w:customStyle="1" w:styleId="ae">
    <w:name w:val="法 页码 奇"/>
    <w:qFormat/>
    <w:rsid w:val="0033649C"/>
    <w:pPr>
      <w:widowControl w:val="0"/>
      <w:spacing w:line="560" w:lineRule="exact"/>
      <w:ind w:leftChars="-180" w:left="-180"/>
    </w:pPr>
    <w:rPr>
      <w:rFonts w:ascii="宋体"/>
      <w:kern w:val="2"/>
      <w:sz w:val="2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6D4C5-F4B9-424E-A4E9-47CF23EC9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124</Words>
  <Characters>711</Characters>
  <Application>Microsoft Office Word</Application>
  <DocSecurity>0</DocSecurity>
  <Lines>5</Lines>
  <Paragraphs>1</Paragraphs>
  <ScaleCrop>false</ScaleCrop>
  <Company>Lenovo (Beijing) Limited</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Ren</cp:lastModifiedBy>
  <cp:revision>11</cp:revision>
  <cp:lastPrinted>2014-04-03T09:04:00Z</cp:lastPrinted>
  <dcterms:created xsi:type="dcterms:W3CDTF">2022-04-18T08:20:00Z</dcterms:created>
  <dcterms:modified xsi:type="dcterms:W3CDTF">2022-07-05T03:00:00Z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B746AE517A8A4A1899B09099852A64D3</vt:lpwstr>
  </property>
</Properties>
</file>