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关于第二审人民法院在审理过程中可否对</w:t>
      </w:r>
    </w:p>
    <w:p>
      <w:pPr>
        <w:pStyle w:val="7"/>
        <w:rPr>
          <w:rFonts w:hint="eastAsia"/>
        </w:rPr>
      </w:pPr>
      <w:r>
        <w:t>当事人的违法行为径行制裁等问题的批复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1990</w:t>
      </w:r>
      <w:r>
        <w:t>年7月25日</w:t>
      </w:r>
      <w:r>
        <w:rPr>
          <w:rFonts w:hint="eastAsia"/>
          <w:lang w:val="en-US" w:eastAsia="zh-CN"/>
        </w:rPr>
        <w:t xml:space="preserve">      </w:t>
      </w:r>
      <w:r>
        <w:t>法经〔1990〕45号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湖北省高级人民法院：</w:t>
      </w:r>
    </w:p>
    <w:p>
      <w:pPr>
        <w:pStyle w:val="12"/>
        <w:rPr>
          <w:rStyle w:val="25"/>
          <w:rFonts w:hint="eastAsia"/>
        </w:rPr>
      </w:pPr>
      <w:r>
        <w:t>你院鄂法〔1990〕经呈字第1号《关于人民法院在第二审中发现需要对当事人的违法行为予以民事制</w:t>
      </w:r>
      <w:r>
        <w:rPr>
          <w:rFonts w:hint="eastAsia"/>
        </w:rPr>
        <w:t>裁时，应由哪一审法院作出决定等问题的请示》报告收悉。经研究，答复如下：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第二审人民法院在审理案件过程中</w:t>
      </w:r>
      <w:r>
        <w:rPr>
          <w:rFonts w:hint="eastAsia"/>
        </w:rPr>
        <w:t>，</w:t>
      </w:r>
      <w:r>
        <w:t>认为当事人有违法行为应予依法制裁而原审人民法院未予制裁的</w:t>
      </w:r>
      <w:r>
        <w:rPr>
          <w:rFonts w:hint="eastAsia"/>
        </w:rPr>
        <w:t>，</w:t>
      </w:r>
      <w:r>
        <w:t>可以径行予以民事制裁。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二、</w:t>
      </w:r>
      <w:r>
        <w:t>当事人不服人民法院民事制裁决定而向上一级人民法院申请复议的</w:t>
      </w:r>
      <w:r>
        <w:rPr>
          <w:rFonts w:hint="eastAsia"/>
        </w:rPr>
        <w:t>，</w:t>
      </w:r>
      <w:r>
        <w:t>该上级人民法院无论维持、变更或者撤销原决定</w:t>
      </w:r>
      <w:r>
        <w:rPr>
          <w:rFonts w:hint="eastAsia"/>
        </w:rPr>
        <w:t>，</w:t>
      </w:r>
      <w:r>
        <w:t>均应制作民事制裁决定书。</w:t>
      </w:r>
    </w:p>
    <w:p>
      <w:pPr>
        <w:pStyle w:val="12"/>
        <w:rPr>
          <w:rFonts w:hint="eastAsia"/>
        </w:rPr>
      </w:pPr>
      <w:r>
        <w:rPr>
          <w:rStyle w:val="25"/>
        </w:rPr>
        <w:t>三、</w:t>
      </w:r>
      <w:r>
        <w:t>人民法院复议期间</w:t>
      </w:r>
      <w:r>
        <w:rPr>
          <w:rFonts w:hint="eastAsia"/>
        </w:rPr>
        <w:t>，</w:t>
      </w:r>
      <w:r>
        <w:t>被制裁人请求撤回复议申请的</w:t>
      </w:r>
      <w:r>
        <w:rPr>
          <w:rFonts w:hint="eastAsia"/>
        </w:rPr>
        <w:t>，</w:t>
      </w:r>
      <w:r>
        <w:t>经过审查</w:t>
      </w:r>
      <w:r>
        <w:rPr>
          <w:rFonts w:hint="eastAsia"/>
        </w:rPr>
        <w:t>，</w:t>
      </w:r>
      <w:r>
        <w:t>应当采取通知的形式</w:t>
      </w:r>
      <w:r>
        <w:rPr>
          <w:rFonts w:hint="eastAsia"/>
        </w:rPr>
        <w:t>，</w:t>
      </w:r>
      <w:r>
        <w:t>准予撤回申请或者驳回其请求。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918B4"/>
    <w:rsid w:val="00323D76"/>
    <w:rsid w:val="02380A4E"/>
    <w:rsid w:val="02C54CFB"/>
    <w:rsid w:val="037918B4"/>
    <w:rsid w:val="042F174E"/>
    <w:rsid w:val="0751543E"/>
    <w:rsid w:val="0BE369DE"/>
    <w:rsid w:val="0F9D48A9"/>
    <w:rsid w:val="0FC66F39"/>
    <w:rsid w:val="135B4974"/>
    <w:rsid w:val="15EB6B18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D9D59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2017-11-01T01:48:00Z</dcterms:created>
  <dc:creator>Administrator</dc:creator>
  <cp:lastModifiedBy>Administrator</cp:lastModifiedBy>
  <dcterms:modified xsi:type="dcterms:W3CDTF">2017-11-01T07:30:08Z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