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hint="eastAsia"/>
          <w:lang w:eastAsia="zh-CN"/>
        </w:rPr>
      </w:pPr>
    </w:p>
    <w:p>
      <w:pPr>
        <w:pStyle w:val="7"/>
        <w:rPr>
          <w:rFonts w:hint="eastAsia"/>
          <w:lang w:eastAsia="zh-CN"/>
        </w:rPr>
      </w:pPr>
    </w:p>
    <w:p>
      <w:pPr>
        <w:pStyle w:val="10"/>
        <w:rPr>
          <w:rFonts w:hint="eastAsia"/>
        </w:rPr>
      </w:pPr>
      <w:r>
        <w:rPr>
          <w:rFonts w:hint="eastAsia"/>
        </w:rPr>
        <w:t>中华人民共和国最高人民法院</w:t>
      </w:r>
    </w:p>
    <w:p>
      <w:pPr>
        <w:pStyle w:val="10"/>
      </w:pPr>
      <w:r>
        <w:rPr>
          <w:rFonts w:hint="eastAsia"/>
        </w:rPr>
        <w:t>公    告</w:t>
      </w:r>
    </w:p>
    <w:p>
      <w:pPr>
        <w:pStyle w:val="7"/>
      </w:pPr>
    </w:p>
    <w:p>
      <w:pPr>
        <w:pStyle w:val="7"/>
        <w:rPr>
          <w:rFonts w:hint="eastAsia"/>
          <w:lang w:eastAsia="zh-CN"/>
        </w:rPr>
      </w:pPr>
      <w:r>
        <w:t>《最高人民法院关于行政申请再审案件立案程序的规定》已于2016年11月21日由最高人民法院审判委员会第1700次会议通过，现予公布，自2018年1月1日起施行。</w:t>
      </w:r>
    </w:p>
    <w:p>
      <w:pPr>
        <w:pStyle w:val="7"/>
      </w:pPr>
    </w:p>
    <w:p>
      <w:pPr>
        <w:pStyle w:val="7"/>
      </w:pPr>
    </w:p>
    <w:p>
      <w:pPr>
        <w:pStyle w:val="13"/>
      </w:pPr>
      <w:r>
        <w:t>2017年10月13日</w:t>
      </w:r>
    </w:p>
    <w:p>
      <w:pPr>
        <w:pStyle w:val="7"/>
        <w:sectPr>
          <w:footerReference r:id="rId3" w:type="default"/>
          <w:footerReference r:id="rId4" w:type="even"/>
          <w:pgSz w:w="11906" w:h="16838"/>
          <w:pgMar w:top="2098" w:right="1474" w:bottom="1984" w:left="1587" w:header="851" w:footer="1587" w:gutter="0"/>
          <w:pgNumType w:fmt="decimal" w:start="0"/>
          <w:cols w:space="720" w:num="1"/>
          <w:rtlGutter w:val="0"/>
          <w:docGrid w:type="lines" w:linePitch="312" w:charSpace="0"/>
        </w:sectPr>
      </w:pPr>
    </w:p>
    <w:p>
      <w:pPr>
        <w:pStyle w:val="7"/>
      </w:pPr>
    </w:p>
    <w:p>
      <w:pPr>
        <w:pStyle w:val="7"/>
      </w:pPr>
    </w:p>
    <w:p>
      <w:pPr>
        <w:pStyle w:val="10"/>
      </w:pPr>
      <w:r>
        <w:t>最高人民法院</w:t>
      </w:r>
    </w:p>
    <w:p>
      <w:pPr>
        <w:pStyle w:val="10"/>
      </w:pPr>
      <w:r>
        <w:t>关于行政申请再审案件立案程序的规定</w:t>
      </w:r>
    </w:p>
    <w:p>
      <w:pPr>
        <w:pStyle w:val="7"/>
      </w:pPr>
    </w:p>
    <w:p>
      <w:pPr>
        <w:pStyle w:val="19"/>
      </w:pPr>
      <w:r>
        <w:t>法释〔2017〕18号</w:t>
      </w:r>
    </w:p>
    <w:p>
      <w:pPr>
        <w:pStyle w:val="7"/>
      </w:pPr>
    </w:p>
    <w:p>
      <w:pPr>
        <w:pStyle w:val="12"/>
        <w:rPr>
          <w:rFonts w:hint="eastAsia" w:eastAsia="楷体_GB2312"/>
          <w:lang w:eastAsia="zh-CN"/>
        </w:rPr>
      </w:pPr>
      <w:r>
        <w:rPr>
          <w:rFonts w:hint="eastAsia"/>
          <w:lang w:eastAsia="zh-CN"/>
        </w:rPr>
        <w:t>（</w:t>
      </w:r>
      <w:r>
        <w:t>2016年11月21日由最高人民法院审判委员会第1700次会议通过，自2018年1月1日起施行</w:t>
      </w:r>
      <w:r>
        <w:rPr>
          <w:rFonts w:hint="eastAsia"/>
          <w:lang w:eastAsia="zh-CN"/>
        </w:rPr>
        <w:t>）</w:t>
      </w:r>
    </w:p>
    <w:p>
      <w:pPr>
        <w:pStyle w:val="7"/>
      </w:pPr>
    </w:p>
    <w:p>
      <w:pPr>
        <w:pStyle w:val="7"/>
        <w:rPr>
          <w:rStyle w:val="25"/>
        </w:rPr>
      </w:pPr>
      <w:r>
        <w:t>为依法保障当事人申请再审权利，规范人民法院行政申请再审案件立案工作，根据《中华人民共和国行政诉讼法》等有关规定，结合审判工作实际，制定本规定。</w:t>
      </w:r>
    </w:p>
    <w:p>
      <w:pPr>
        <w:pStyle w:val="7"/>
      </w:pPr>
      <w:r>
        <w:rPr>
          <w:rStyle w:val="25"/>
        </w:rPr>
        <w:t>第一条</w:t>
      </w:r>
      <w:r>
        <w:t>　再审申请应当符合以下条件：</w:t>
      </w:r>
    </w:p>
    <w:p>
      <w:pPr>
        <w:pStyle w:val="7"/>
      </w:pPr>
      <w:r>
        <w:rPr>
          <w:rFonts w:hint="eastAsia"/>
          <w:lang w:eastAsia="zh-CN"/>
        </w:rPr>
        <w:t>（</w:t>
      </w:r>
      <w:r>
        <w:t>一</w:t>
      </w:r>
      <w:r>
        <w:rPr>
          <w:rFonts w:hint="eastAsia"/>
          <w:lang w:eastAsia="zh-CN"/>
        </w:rPr>
        <w:t>）</w:t>
      </w:r>
      <w:r>
        <w:t>再审申请人是生效裁判文书列明的当事人，或者其他因不能归责于本人的事由未被裁判文书列为当事人，但与行政行为有利害关系的公民、法人或者其他组织；</w:t>
      </w:r>
    </w:p>
    <w:p>
      <w:pPr>
        <w:pStyle w:val="7"/>
      </w:pPr>
      <w:r>
        <w:rPr>
          <w:rFonts w:hint="eastAsia"/>
          <w:lang w:eastAsia="zh-CN"/>
        </w:rPr>
        <w:t>（</w:t>
      </w:r>
      <w:r>
        <w:t>二</w:t>
      </w:r>
      <w:r>
        <w:rPr>
          <w:rFonts w:hint="eastAsia"/>
          <w:lang w:eastAsia="zh-CN"/>
        </w:rPr>
        <w:t>）</w:t>
      </w:r>
      <w:r>
        <w:t>受理再审申请的法院是作出生效裁判的上一级人民法院；</w:t>
      </w:r>
    </w:p>
    <w:p>
      <w:pPr>
        <w:pStyle w:val="7"/>
      </w:pPr>
      <w:r>
        <w:rPr>
          <w:rFonts w:hint="eastAsia"/>
          <w:lang w:eastAsia="zh-CN"/>
        </w:rPr>
        <w:t>（</w:t>
      </w:r>
      <w:r>
        <w:t>三</w:t>
      </w:r>
      <w:r>
        <w:rPr>
          <w:rFonts w:hint="eastAsia"/>
          <w:lang w:eastAsia="zh-CN"/>
        </w:rPr>
        <w:t>）</w:t>
      </w:r>
      <w:r>
        <w:t>申请再审的裁判属于行政诉讼法第九十条规定的生效裁判；</w:t>
      </w:r>
    </w:p>
    <w:p>
      <w:pPr>
        <w:pStyle w:val="7"/>
        <w:rPr>
          <w:rStyle w:val="25"/>
        </w:rPr>
      </w:pPr>
      <w:r>
        <w:rPr>
          <w:rFonts w:hint="eastAsia"/>
          <w:lang w:eastAsia="zh-CN"/>
        </w:rPr>
        <w:t>（</w:t>
      </w:r>
      <w:r>
        <w:t>四</w:t>
      </w:r>
      <w:r>
        <w:rPr>
          <w:rFonts w:hint="eastAsia"/>
          <w:lang w:eastAsia="zh-CN"/>
        </w:rPr>
        <w:t>）</w:t>
      </w:r>
      <w:r>
        <w:t>申请再审的事由属于行政诉讼法第九十一条规定的情形。</w:t>
      </w:r>
    </w:p>
    <w:p>
      <w:pPr>
        <w:pStyle w:val="7"/>
      </w:pPr>
      <w:r>
        <w:rPr>
          <w:rStyle w:val="25"/>
        </w:rPr>
        <w:t>第二条</w:t>
      </w:r>
      <w:r>
        <w:t>　申请再审，有下列情形之一的，人民法院不予立案：</w:t>
      </w:r>
    </w:p>
    <w:p>
      <w:pPr>
        <w:pStyle w:val="7"/>
      </w:pPr>
      <w:r>
        <w:rPr>
          <w:rFonts w:hint="eastAsia"/>
          <w:lang w:eastAsia="zh-CN"/>
        </w:rPr>
        <w:t>（</w:t>
      </w:r>
      <w:r>
        <w:t>一</w:t>
      </w:r>
      <w:r>
        <w:rPr>
          <w:rFonts w:hint="eastAsia"/>
          <w:lang w:eastAsia="zh-CN"/>
        </w:rPr>
        <w:t>）</w:t>
      </w:r>
      <w:r>
        <w:t>再审申请被驳回后再次提出申请的；</w:t>
      </w:r>
    </w:p>
    <w:p>
      <w:pPr>
        <w:pStyle w:val="7"/>
      </w:pPr>
      <w:r>
        <w:rPr>
          <w:rFonts w:hint="eastAsia"/>
          <w:lang w:eastAsia="zh-CN"/>
        </w:rPr>
        <w:t>（</w:t>
      </w:r>
      <w:r>
        <w:t>二</w:t>
      </w:r>
      <w:r>
        <w:rPr>
          <w:rFonts w:hint="eastAsia"/>
          <w:lang w:eastAsia="zh-CN"/>
        </w:rPr>
        <w:t>）</w:t>
      </w:r>
      <w:r>
        <w:t>对再审判决、裁定提出申请的；</w:t>
      </w:r>
    </w:p>
    <w:p>
      <w:pPr>
        <w:pStyle w:val="7"/>
      </w:pPr>
      <w:r>
        <w:rPr>
          <w:rFonts w:hint="eastAsia"/>
          <w:lang w:eastAsia="zh-CN"/>
        </w:rPr>
        <w:t>（</w:t>
      </w:r>
      <w:r>
        <w:t>三</w:t>
      </w:r>
      <w:r>
        <w:rPr>
          <w:rFonts w:hint="eastAsia"/>
          <w:lang w:eastAsia="zh-CN"/>
        </w:rPr>
        <w:t>）</w:t>
      </w:r>
      <w:r>
        <w:t>在人民检察院对当事人的申请作出不予提出检察建议或者抗诉决定后又提出申请的；</w:t>
      </w:r>
    </w:p>
    <w:p>
      <w:pPr>
        <w:pStyle w:val="7"/>
        <w:rPr>
          <w:rStyle w:val="25"/>
        </w:rPr>
      </w:pPr>
      <w:r>
        <w:t>前款第一项、第二项规定情形，人民法院应当告知当事人可以向人民检察院申请检察建议或者抗诉。</w:t>
      </w:r>
    </w:p>
    <w:p>
      <w:pPr>
        <w:pStyle w:val="7"/>
      </w:pPr>
      <w:r>
        <w:rPr>
          <w:rStyle w:val="25"/>
        </w:rPr>
        <w:t>第三条</w:t>
      </w:r>
      <w:r>
        <w:t>　委托他人代为申请再审的，诉讼代理人应为下列人员：</w:t>
      </w:r>
    </w:p>
    <w:p>
      <w:pPr>
        <w:pStyle w:val="7"/>
      </w:pPr>
      <w:r>
        <w:rPr>
          <w:rFonts w:hint="eastAsia"/>
          <w:lang w:eastAsia="zh-CN"/>
        </w:rPr>
        <w:t>（</w:t>
      </w:r>
      <w:r>
        <w:t>一</w:t>
      </w:r>
      <w:r>
        <w:rPr>
          <w:rFonts w:hint="eastAsia"/>
          <w:lang w:eastAsia="zh-CN"/>
        </w:rPr>
        <w:t>）</w:t>
      </w:r>
      <w:r>
        <w:t>律师、基层法律服务工作者；</w:t>
      </w:r>
    </w:p>
    <w:p>
      <w:pPr>
        <w:pStyle w:val="7"/>
      </w:pPr>
      <w:r>
        <w:rPr>
          <w:rFonts w:hint="eastAsia"/>
          <w:lang w:eastAsia="zh-CN"/>
        </w:rPr>
        <w:t>（</w:t>
      </w:r>
      <w:r>
        <w:t>二</w:t>
      </w:r>
      <w:r>
        <w:rPr>
          <w:rFonts w:hint="eastAsia"/>
          <w:lang w:eastAsia="zh-CN"/>
        </w:rPr>
        <w:t>）</w:t>
      </w:r>
      <w:r>
        <w:t>当事人的近亲属或者工作人员；</w:t>
      </w:r>
    </w:p>
    <w:p>
      <w:pPr>
        <w:pStyle w:val="7"/>
        <w:rPr>
          <w:rStyle w:val="25"/>
        </w:rPr>
      </w:pPr>
      <w:r>
        <w:rPr>
          <w:rFonts w:hint="eastAsia"/>
          <w:lang w:eastAsia="zh-CN"/>
        </w:rPr>
        <w:t>（</w:t>
      </w:r>
      <w:r>
        <w:t>三</w:t>
      </w:r>
      <w:r>
        <w:rPr>
          <w:rFonts w:hint="eastAsia"/>
          <w:lang w:eastAsia="zh-CN"/>
        </w:rPr>
        <w:t>）</w:t>
      </w:r>
      <w:r>
        <w:t>当事人所在社区、单位以及有关社会团体推荐的公民。</w:t>
      </w:r>
    </w:p>
    <w:p>
      <w:pPr>
        <w:pStyle w:val="7"/>
      </w:pPr>
      <w:r>
        <w:rPr>
          <w:rStyle w:val="25"/>
        </w:rPr>
        <w:t>第四条</w:t>
      </w:r>
      <w:r>
        <w:t>　申请再审，应当提交下列材料：</w:t>
      </w:r>
    </w:p>
    <w:p>
      <w:pPr>
        <w:pStyle w:val="7"/>
      </w:pPr>
      <w:r>
        <w:rPr>
          <w:rFonts w:hint="eastAsia"/>
          <w:lang w:eastAsia="zh-CN"/>
        </w:rPr>
        <w:t>（</w:t>
      </w:r>
      <w:r>
        <w:t>一</w:t>
      </w:r>
      <w:r>
        <w:rPr>
          <w:rFonts w:hint="eastAsia"/>
          <w:lang w:eastAsia="zh-CN"/>
        </w:rPr>
        <w:t>）</w:t>
      </w:r>
      <w:r>
        <w:t>再审申请书，并按照被申请人及原审其他当事人的人数提交副本；</w:t>
      </w:r>
    </w:p>
    <w:p>
      <w:pPr>
        <w:pStyle w:val="7"/>
      </w:pPr>
      <w:r>
        <w:rPr>
          <w:rFonts w:hint="eastAsia"/>
          <w:lang w:eastAsia="zh-CN"/>
        </w:rPr>
        <w:t>（</w:t>
      </w:r>
      <w:r>
        <w:t>二</w:t>
      </w:r>
      <w:r>
        <w:rPr>
          <w:rFonts w:hint="eastAsia"/>
          <w:lang w:eastAsia="zh-CN"/>
        </w:rPr>
        <w:t>）</w:t>
      </w:r>
      <w:r>
        <w:t>再审申请人是自然人的，应当提交身份证明复印件；再审申请人是法人或者其他组织的，应当提交营业执照复印件、组织机构代码证书复印件、法定代表人或者主要负责人身份证明；法人或者其他组织不能提供组织机构代码证书复印件的，应当提交情况说明；</w:t>
      </w:r>
    </w:p>
    <w:p>
      <w:pPr>
        <w:pStyle w:val="7"/>
      </w:pPr>
      <w:r>
        <w:rPr>
          <w:rFonts w:hint="eastAsia"/>
          <w:lang w:eastAsia="zh-CN"/>
        </w:rPr>
        <w:t>（</w:t>
      </w:r>
      <w:r>
        <w:t>三</w:t>
      </w:r>
      <w:r>
        <w:rPr>
          <w:rFonts w:hint="eastAsia"/>
          <w:lang w:eastAsia="zh-CN"/>
        </w:rPr>
        <w:t>）</w:t>
      </w:r>
      <w:r>
        <w:t>委托他人代为申请再审的，应当提交授权委托书和代理人身份证明；</w:t>
      </w:r>
    </w:p>
    <w:p>
      <w:pPr>
        <w:pStyle w:val="7"/>
      </w:pPr>
      <w:r>
        <w:rPr>
          <w:rFonts w:hint="eastAsia"/>
          <w:lang w:eastAsia="zh-CN"/>
        </w:rPr>
        <w:t>（</w:t>
      </w:r>
      <w:r>
        <w:t>四</w:t>
      </w:r>
      <w:r>
        <w:rPr>
          <w:rFonts w:hint="eastAsia"/>
          <w:lang w:eastAsia="zh-CN"/>
        </w:rPr>
        <w:t>）</w:t>
      </w:r>
      <w:r>
        <w:t>原审判决书、裁定书、调解书，或者与原件核对无异的复印件；</w:t>
      </w:r>
    </w:p>
    <w:p>
      <w:pPr>
        <w:pStyle w:val="7"/>
        <w:rPr>
          <w:rStyle w:val="25"/>
        </w:rPr>
      </w:pPr>
      <w:r>
        <w:rPr>
          <w:rFonts w:hint="eastAsia"/>
          <w:lang w:eastAsia="zh-CN"/>
        </w:rPr>
        <w:t>（</w:t>
      </w:r>
      <w:r>
        <w:t>五</w:t>
      </w:r>
      <w:r>
        <w:rPr>
          <w:rFonts w:hint="eastAsia"/>
          <w:lang w:eastAsia="zh-CN"/>
        </w:rPr>
        <w:t>）</w:t>
      </w:r>
      <w:r>
        <w:t>法律、法规规定需要提交的其他材料。</w:t>
      </w:r>
    </w:p>
    <w:p>
      <w:pPr>
        <w:pStyle w:val="7"/>
      </w:pPr>
      <w:r>
        <w:rPr>
          <w:rStyle w:val="25"/>
        </w:rPr>
        <w:t>第五条</w:t>
      </w:r>
      <w:r>
        <w:t>　当事人申请再审，一般还应提交下列材料：</w:t>
      </w:r>
    </w:p>
    <w:p>
      <w:pPr>
        <w:pStyle w:val="7"/>
      </w:pPr>
      <w:r>
        <w:rPr>
          <w:rFonts w:hint="eastAsia"/>
          <w:lang w:eastAsia="zh-CN"/>
        </w:rPr>
        <w:t>（</w:t>
      </w:r>
      <w:r>
        <w:t>一</w:t>
      </w:r>
      <w:r>
        <w:rPr>
          <w:rFonts w:hint="eastAsia"/>
          <w:lang w:eastAsia="zh-CN"/>
        </w:rPr>
        <w:t>）</w:t>
      </w:r>
      <w:r>
        <w:t>一审起诉状复印件、二审上诉状复印件；</w:t>
      </w:r>
    </w:p>
    <w:p>
      <w:pPr>
        <w:pStyle w:val="7"/>
      </w:pPr>
      <w:r>
        <w:rPr>
          <w:rFonts w:hint="eastAsia"/>
          <w:lang w:eastAsia="zh-CN"/>
        </w:rPr>
        <w:t>（</w:t>
      </w:r>
      <w:r>
        <w:t>二</w:t>
      </w:r>
      <w:r>
        <w:rPr>
          <w:rFonts w:hint="eastAsia"/>
          <w:lang w:eastAsia="zh-CN"/>
        </w:rPr>
        <w:t>）</w:t>
      </w:r>
      <w:r>
        <w:t>在原审诉讼过程中提交的主要证据材料；</w:t>
      </w:r>
    </w:p>
    <w:p>
      <w:pPr>
        <w:pStyle w:val="7"/>
      </w:pPr>
      <w:r>
        <w:rPr>
          <w:rFonts w:hint="eastAsia"/>
          <w:lang w:eastAsia="zh-CN"/>
        </w:rPr>
        <w:t>（</w:t>
      </w:r>
      <w:r>
        <w:t>三</w:t>
      </w:r>
      <w:r>
        <w:rPr>
          <w:rFonts w:hint="eastAsia"/>
          <w:lang w:eastAsia="zh-CN"/>
        </w:rPr>
        <w:t>）</w:t>
      </w:r>
      <w:r>
        <w:t>支持再审申请事由和再审请求的证据材料；</w:t>
      </w:r>
    </w:p>
    <w:p>
      <w:pPr>
        <w:pStyle w:val="7"/>
      </w:pPr>
      <w:r>
        <w:rPr>
          <w:rFonts w:hint="eastAsia"/>
          <w:lang w:eastAsia="zh-CN"/>
        </w:rPr>
        <w:t>（</w:t>
      </w:r>
      <w:r>
        <w:t>四</w:t>
      </w:r>
      <w:r>
        <w:rPr>
          <w:rFonts w:hint="eastAsia"/>
          <w:lang w:eastAsia="zh-CN"/>
        </w:rPr>
        <w:t>）</w:t>
      </w:r>
      <w:r>
        <w:t>行政机关作出相关行政行为的证据材料；</w:t>
      </w:r>
    </w:p>
    <w:p>
      <w:pPr>
        <w:pStyle w:val="7"/>
      </w:pPr>
      <w:r>
        <w:rPr>
          <w:rFonts w:hint="eastAsia"/>
          <w:lang w:eastAsia="zh-CN"/>
        </w:rPr>
        <w:t>（</w:t>
      </w:r>
      <w:r>
        <w:t>五</w:t>
      </w:r>
      <w:r>
        <w:rPr>
          <w:rFonts w:hint="eastAsia"/>
          <w:lang w:eastAsia="zh-CN"/>
        </w:rPr>
        <w:t>）</w:t>
      </w:r>
      <w:r>
        <w:t>其向行政机关提出申请，但行政机关不作为的相关证据材料；</w:t>
      </w:r>
    </w:p>
    <w:p>
      <w:pPr>
        <w:pStyle w:val="7"/>
        <w:rPr>
          <w:rStyle w:val="25"/>
        </w:rPr>
      </w:pPr>
      <w:r>
        <w:rPr>
          <w:rFonts w:hint="eastAsia"/>
          <w:lang w:eastAsia="zh-CN"/>
        </w:rPr>
        <w:t>（</w:t>
      </w:r>
      <w:r>
        <w:t>六</w:t>
      </w:r>
      <w:r>
        <w:rPr>
          <w:rFonts w:hint="eastAsia"/>
          <w:lang w:eastAsia="zh-CN"/>
        </w:rPr>
        <w:t>）</w:t>
      </w:r>
      <w:r>
        <w:t>认为需要提交的其他材料。</w:t>
      </w:r>
    </w:p>
    <w:p>
      <w:pPr>
        <w:pStyle w:val="7"/>
        <w:rPr>
          <w:rStyle w:val="25"/>
        </w:rPr>
      </w:pPr>
      <w:r>
        <w:rPr>
          <w:rStyle w:val="25"/>
        </w:rPr>
        <w:t>第六条</w:t>
      </w:r>
      <w:r>
        <w:t>　再审申请人提交再审申请书等材料时，应当填写送达地址确认书，并可同时附上相关材料的电子文本。</w:t>
      </w:r>
    </w:p>
    <w:p>
      <w:pPr>
        <w:pStyle w:val="7"/>
      </w:pPr>
      <w:r>
        <w:rPr>
          <w:rStyle w:val="25"/>
        </w:rPr>
        <w:t>第七条</w:t>
      </w:r>
      <w:r>
        <w:t>　再审申请书应当载明下列事项：</w:t>
      </w:r>
    </w:p>
    <w:p>
      <w:pPr>
        <w:pStyle w:val="7"/>
      </w:pPr>
      <w:r>
        <w:rPr>
          <w:rFonts w:hint="eastAsia"/>
          <w:lang w:eastAsia="zh-CN"/>
        </w:rPr>
        <w:t>（</w:t>
      </w:r>
      <w:r>
        <w:t>一</w:t>
      </w:r>
      <w:r>
        <w:rPr>
          <w:rFonts w:hint="eastAsia"/>
          <w:lang w:eastAsia="zh-CN"/>
        </w:rPr>
        <w:t>）</w:t>
      </w:r>
      <w:r>
        <w:t>再审申请人、被申请人及原审其他当事人的基本情况。当事人是自然人的，应列明姓名、性别、出生日期、民族、住址及有效联系电话、通讯地址；当事人是法人或者其他组织的，应列明名称、住所地和法定代表人或者主要负责人的姓名、职务及有效联系电话、通讯地址；</w:t>
      </w:r>
    </w:p>
    <w:p>
      <w:pPr>
        <w:pStyle w:val="7"/>
      </w:pPr>
      <w:r>
        <w:rPr>
          <w:rFonts w:hint="eastAsia"/>
          <w:lang w:eastAsia="zh-CN"/>
        </w:rPr>
        <w:t>（</w:t>
      </w:r>
      <w:r>
        <w:t>二</w:t>
      </w:r>
      <w:r>
        <w:rPr>
          <w:rFonts w:hint="eastAsia"/>
          <w:lang w:eastAsia="zh-CN"/>
        </w:rPr>
        <w:t>）</w:t>
      </w:r>
      <w:r>
        <w:t>原审人民法院的名称，原审判决、裁定或者调解书的案号；</w:t>
      </w:r>
    </w:p>
    <w:p>
      <w:pPr>
        <w:pStyle w:val="7"/>
      </w:pPr>
      <w:r>
        <w:rPr>
          <w:rFonts w:hint="eastAsia"/>
          <w:lang w:eastAsia="zh-CN"/>
        </w:rPr>
        <w:t>（</w:t>
      </w:r>
      <w:r>
        <w:t>三</w:t>
      </w:r>
      <w:r>
        <w:rPr>
          <w:rFonts w:hint="eastAsia"/>
          <w:lang w:eastAsia="zh-CN"/>
        </w:rPr>
        <w:t>）</w:t>
      </w:r>
      <w:r>
        <w:t>具体的再审请求；</w:t>
      </w:r>
    </w:p>
    <w:p>
      <w:pPr>
        <w:pStyle w:val="7"/>
      </w:pPr>
      <w:r>
        <w:rPr>
          <w:rFonts w:hint="eastAsia"/>
          <w:lang w:eastAsia="zh-CN"/>
        </w:rPr>
        <w:t>（</w:t>
      </w:r>
      <w:r>
        <w:t>四</w:t>
      </w:r>
      <w:r>
        <w:rPr>
          <w:rFonts w:hint="eastAsia"/>
          <w:lang w:eastAsia="zh-CN"/>
        </w:rPr>
        <w:t>）</w:t>
      </w:r>
      <w:r>
        <w:t>申请再审的具体法定事由及事实、理由；</w:t>
      </w:r>
    </w:p>
    <w:p>
      <w:pPr>
        <w:pStyle w:val="7"/>
      </w:pPr>
      <w:r>
        <w:rPr>
          <w:rFonts w:hint="eastAsia"/>
          <w:lang w:eastAsia="zh-CN"/>
        </w:rPr>
        <w:t>（</w:t>
      </w:r>
      <w:r>
        <w:t>五</w:t>
      </w:r>
      <w:r>
        <w:rPr>
          <w:rFonts w:hint="eastAsia"/>
          <w:lang w:eastAsia="zh-CN"/>
        </w:rPr>
        <w:t>）</w:t>
      </w:r>
      <w:r>
        <w:t>受理再审申请的人民法院名称；</w:t>
      </w:r>
    </w:p>
    <w:p>
      <w:pPr>
        <w:pStyle w:val="7"/>
      </w:pPr>
      <w:r>
        <w:rPr>
          <w:rFonts w:hint="eastAsia"/>
          <w:lang w:eastAsia="zh-CN"/>
        </w:rPr>
        <w:t>（</w:t>
      </w:r>
      <w:r>
        <w:t>六</w:t>
      </w:r>
      <w:r>
        <w:rPr>
          <w:rFonts w:hint="eastAsia"/>
          <w:lang w:eastAsia="zh-CN"/>
        </w:rPr>
        <w:t>）</w:t>
      </w:r>
      <w:r>
        <w:t>再审申请人的签名、捺印或者盖章；</w:t>
      </w:r>
    </w:p>
    <w:p>
      <w:pPr>
        <w:pStyle w:val="7"/>
        <w:rPr>
          <w:rStyle w:val="25"/>
        </w:rPr>
      </w:pPr>
      <w:r>
        <w:rPr>
          <w:rFonts w:hint="eastAsia"/>
          <w:lang w:eastAsia="zh-CN"/>
        </w:rPr>
        <w:t>（</w:t>
      </w:r>
      <w:r>
        <w:t>七</w:t>
      </w:r>
      <w:r>
        <w:rPr>
          <w:rFonts w:hint="eastAsia"/>
          <w:lang w:eastAsia="zh-CN"/>
        </w:rPr>
        <w:t>）</w:t>
      </w:r>
      <w:r>
        <w:t>递交再审申请书的日期。</w:t>
      </w:r>
    </w:p>
    <w:p>
      <w:pPr>
        <w:pStyle w:val="7"/>
        <w:rPr>
          <w:rStyle w:val="25"/>
        </w:rPr>
      </w:pPr>
      <w:r>
        <w:rPr>
          <w:rStyle w:val="25"/>
        </w:rPr>
        <w:t>第八条</w:t>
      </w:r>
      <w:r>
        <w:t>　再审申请人提交的再审申请书等材料符合上述要求的，人民法院应当出具《诉讼材料收取清单》，注明收到材料日期，并加盖专用收件章。《诉讼材料收取清单》一式两份，一份由人民法院入卷，一份由再审申请人留存。</w:t>
      </w:r>
    </w:p>
    <w:p>
      <w:pPr>
        <w:pStyle w:val="7"/>
      </w:pPr>
      <w:r>
        <w:rPr>
          <w:rStyle w:val="25"/>
        </w:rPr>
        <w:t>第九条</w:t>
      </w:r>
      <w:r>
        <w:t>　再审申请人提出的再审申请不符合本规定的，人民法院应当当场告知再审申请人。</w:t>
      </w:r>
    </w:p>
    <w:p>
      <w:pPr>
        <w:pStyle w:val="7"/>
      </w:pPr>
      <w:r>
        <w:t>再审申请人提交的再审申请书等材料不符合要求的，人民法院应当将材料退回再审申请人，并一次性全面告知其在指定的合理期限内予以补正。再审申请人无正当理由逾期不予补正且仍坚持申请再审的，人民法院应当裁定驳回其再审申请。</w:t>
      </w:r>
    </w:p>
    <w:p>
      <w:pPr>
        <w:pStyle w:val="7"/>
        <w:rPr>
          <w:rStyle w:val="25"/>
        </w:rPr>
      </w:pPr>
      <w:r>
        <w:t>人民法院不得因再审申请人未提交本规定第五条规定的相关材料，认定其提交的材料不符合要求。</w:t>
      </w:r>
    </w:p>
    <w:p>
      <w:pPr>
        <w:pStyle w:val="7"/>
      </w:pPr>
      <w:r>
        <w:rPr>
          <w:rStyle w:val="25"/>
        </w:rPr>
        <w:t>第十条</w:t>
      </w:r>
      <w:r>
        <w:t>　对符合上述条件的再审申请，人民法院应当及时立案，并应自收到符合条件的再审申请书等材料之日起五日内向再审申请人发送受理通知书，同时向被申请人及原审其他当事人发送应诉通知书、再审申请书副本及送达地址确认书。</w:t>
      </w:r>
    </w:p>
    <w:p>
      <w:pPr>
        <w:pStyle w:val="7"/>
      </w:pPr>
      <w:r>
        <w:t>因通讯地址不详等原因，受理通知书、应诉通知书、再审申请书副本等材料未送达当事人的，不影响案件的审查。</w:t>
      </w:r>
    </w:p>
    <w:p>
      <w:pPr>
        <w:pStyle w:val="7"/>
        <w:rPr>
          <w:rStyle w:val="25"/>
        </w:rPr>
      </w:pPr>
      <w:r>
        <w:t>被申请人可以在收到再审申请书副本之日起十五日内向人民法院提出书面答辩意见，被申请人未提出书面答辩意见的，不影响人民法院审查。</w:t>
      </w:r>
    </w:p>
    <w:p>
      <w:pPr>
        <w:pStyle w:val="7"/>
        <w:rPr>
          <w:rStyle w:val="25"/>
        </w:rPr>
      </w:pPr>
      <w:r>
        <w:rPr>
          <w:rStyle w:val="25"/>
        </w:rPr>
        <w:t>第十一条</w:t>
      </w:r>
      <w:r>
        <w:t>　再审申请人向原审人民法院申请再审或者越级申请再审的，原审人民法院或者有关上级人民法院应当告知其向作出生效裁判的人民法院的上一级法院提出。</w:t>
      </w:r>
    </w:p>
    <w:p>
      <w:pPr>
        <w:pStyle w:val="7"/>
      </w:pPr>
      <w:r>
        <w:rPr>
          <w:rStyle w:val="25"/>
        </w:rPr>
        <w:t>第十二条</w:t>
      </w:r>
      <w:r>
        <w:t>　当事人申请再审，应当在判决、裁定、调解书发生法律效力后六个月内提出。</w:t>
      </w:r>
    </w:p>
    <w:p>
      <w:pPr>
        <w:pStyle w:val="7"/>
      </w:pPr>
      <w:r>
        <w:t>申请再审期间为人民法院向当事人送达裁判文书之日起至再审申请人向上一级人民法院申请再审之日止。</w:t>
      </w:r>
    </w:p>
    <w:p>
      <w:pPr>
        <w:pStyle w:val="7"/>
      </w:pPr>
      <w:r>
        <w:t>申请再审期间为不变期间，不适用中止、中断、延长的规定。</w:t>
      </w:r>
    </w:p>
    <w:p>
      <w:pPr>
        <w:pStyle w:val="7"/>
        <w:rPr>
          <w:rStyle w:val="25"/>
        </w:rPr>
      </w:pPr>
      <w:r>
        <w:t>再审申请人对2015年5月1日行政诉讼法实施前已经发生法律效力的判决、裁定、调解书申请再审的，人民法院依据《最高人民法院关于执行〈中华人民共和国行政诉讼法〉若干问题的解释》第七十三条规定的2年确定申请再审的期间，但该期间在2015年10月31日尚未届满的，截止至2015年10月31日。</w:t>
      </w:r>
    </w:p>
    <w:p>
      <w:pPr>
        <w:pStyle w:val="7"/>
      </w:pPr>
      <w:r>
        <w:rPr>
          <w:rStyle w:val="25"/>
        </w:rPr>
        <w:t>第十三条</w:t>
      </w:r>
      <w:r>
        <w:t>　人民法院认为再审申请不符合法定申请再审期间要求的，应当告知再审申请人。</w:t>
      </w:r>
    </w:p>
    <w:p>
      <w:pPr>
        <w:pStyle w:val="7"/>
        <w:rPr>
          <w:rStyle w:val="25"/>
        </w:rPr>
      </w:pPr>
      <w:r>
        <w:t>再审申请人认为未超过法定期间的，人民法院可以要求其在十日内提交生效裁判文书的送达回证复印件或其他能够证明裁判文书实际生效日期的相应证据材料。再审申请人拒不提交上述证明材料或逾期未提交，或者提交的证据材料不足以证明申请再审未超过法定期间的，人民法院裁定驳回再审申请。</w:t>
      </w:r>
    </w:p>
    <w:p>
      <w:pPr>
        <w:pStyle w:val="7"/>
        <w:rPr>
          <w:rStyle w:val="25"/>
        </w:rPr>
      </w:pPr>
      <w:r>
        <w:rPr>
          <w:rStyle w:val="25"/>
        </w:rPr>
        <w:t>第十四条</w:t>
      </w:r>
      <w:r>
        <w:t>　再审申请人申请撤回再审申请，尚未立案的，人民法院退回已提交材料并记录在册；已经立案的，人民法院裁定是否准许撤回再审申请。人民法院准许撤回再审申请或者按撤回再审申请处理后，再审申请人再次申请再审的，人民法院不予立案，但有行政诉讼法第九十一条第二项、第三项、第七项、第八项规定等情形，自知道或者应当知道之日起六个月内提出的除外。</w:t>
      </w:r>
    </w:p>
    <w:p>
      <w:pPr>
        <w:pStyle w:val="7"/>
      </w:pPr>
      <w:r>
        <w:rPr>
          <w:rStyle w:val="25"/>
        </w:rPr>
        <w:t>第十五条</w:t>
      </w:r>
      <w:r>
        <w:t>　本规定自2018年1月1日起施行，最高人民法院以前发布的有关规定与本规定不符的，按照本规定执行。</w:t>
      </w:r>
    </w:p>
    <w:p>
      <w:pPr>
        <w:rPr>
          <w:rFonts w:hint="eastAsia"/>
        </w:rPr>
      </w:pPr>
      <w:bookmarkStart w:id="0" w:name="_GoBack"/>
      <w:bookmarkEnd w:id="0"/>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2526"/>
        <w:tab w:val="right" w:pos="8306"/>
      </w:tabs>
      <w:rPr>
        <w:rFonts w:hint="eastAsia" w:ascii="宋体" w:hAnsi="宋体" w:eastAsia="宋体" w:cs="宋体"/>
        <w:sz w:val="28"/>
        <w:szCs w:val="28"/>
      </w:rPr>
    </w:pPr>
    <w:r>
      <w:rPr>
        <w:rFonts w:hint="eastAsia" w:ascii="宋体" w:hAnsi="宋体" w:cs="宋体"/>
        <w:sz w:val="28"/>
        <w:szCs w:val="28"/>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2526"/>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r>
      <w:rPr>
        <w:rFonts w:hint="eastAsia" w:ascii="宋体" w:hAnsi="宋体" w:cs="宋体"/>
        <w:sz w:val="28"/>
        <w:szCs w:val="28"/>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323D76"/>
    <w:rsid w:val="004F0080"/>
    <w:rsid w:val="0072125E"/>
    <w:rsid w:val="02380A4E"/>
    <w:rsid w:val="02C54CFB"/>
    <w:rsid w:val="042F174E"/>
    <w:rsid w:val="0751543E"/>
    <w:rsid w:val="0BE369DE"/>
    <w:rsid w:val="0F9D48A9"/>
    <w:rsid w:val="0FC66F39"/>
    <w:rsid w:val="135B4974"/>
    <w:rsid w:val="19EF53F7"/>
    <w:rsid w:val="1BD82971"/>
    <w:rsid w:val="1C547AC8"/>
    <w:rsid w:val="20194FCD"/>
    <w:rsid w:val="211007F7"/>
    <w:rsid w:val="224D5C1E"/>
    <w:rsid w:val="28B53323"/>
    <w:rsid w:val="2A483D38"/>
    <w:rsid w:val="2A844039"/>
    <w:rsid w:val="2CFE6EE4"/>
    <w:rsid w:val="2D725F92"/>
    <w:rsid w:val="300F227C"/>
    <w:rsid w:val="302E782D"/>
    <w:rsid w:val="325C564C"/>
    <w:rsid w:val="36AE6775"/>
    <w:rsid w:val="38787F7C"/>
    <w:rsid w:val="39191BFA"/>
    <w:rsid w:val="3C5C08F2"/>
    <w:rsid w:val="3D717517"/>
    <w:rsid w:val="3FBC61B7"/>
    <w:rsid w:val="43B62403"/>
    <w:rsid w:val="4AEF215E"/>
    <w:rsid w:val="4DA15956"/>
    <w:rsid w:val="4E7D2A86"/>
    <w:rsid w:val="501B3EB2"/>
    <w:rsid w:val="5027117E"/>
    <w:rsid w:val="56C00D65"/>
    <w:rsid w:val="65586BE5"/>
    <w:rsid w:val="66953540"/>
    <w:rsid w:val="6D800228"/>
    <w:rsid w:val="6DAD6BF0"/>
    <w:rsid w:val="6E1B4105"/>
    <w:rsid w:val="6EB66F23"/>
    <w:rsid w:val="75FA67F7"/>
    <w:rsid w:val="791D4453"/>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章"/>
    <w:basedOn w:val="1"/>
    <w:qFormat/>
    <w:uiPriority w:val="0"/>
    <w:pPr>
      <w:spacing w:line="560" w:lineRule="exact"/>
      <w:jc w:val="center"/>
    </w:pPr>
    <w:rPr>
      <w:rFonts w:ascii="黑体" w:hAnsi="黑体" w:eastAsia="黑体" w:cs="黑体"/>
      <w:sz w:val="32"/>
      <w:szCs w:val="32"/>
    </w:rPr>
  </w:style>
  <w:style w:type="paragraph" w:customStyle="1" w:styleId="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8">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标题名"/>
    <w:basedOn w:val="1"/>
    <w:uiPriority w:val="0"/>
    <w:pPr>
      <w:spacing w:line="560" w:lineRule="exact"/>
      <w:jc w:val="center"/>
    </w:pPr>
    <w:rPr>
      <w:rFonts w:hint="eastAsia" w:ascii="宋体" w:hAnsi="宋体" w:cs="宋体"/>
      <w:sz w:val="44"/>
      <w:szCs w:val="44"/>
    </w:rPr>
  </w:style>
  <w:style w:type="paragraph" w:customStyle="1" w:styleId="11">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2">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附/附件"/>
    <w:basedOn w:val="1"/>
    <w:qFormat/>
    <w:uiPriority w:val="0"/>
    <w:pPr>
      <w:spacing w:line="560" w:lineRule="exact"/>
      <w:jc w:val="left"/>
    </w:pPr>
    <w:rPr>
      <w:rFonts w:ascii="黑体" w:hAnsi="黑体" w:eastAsia="黑体" w:cs="黑体"/>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表头"/>
    <w:basedOn w:val="1"/>
    <w:qFormat/>
    <w:uiPriority w:val="0"/>
    <w:pPr>
      <w:spacing w:line="560" w:lineRule="exact"/>
      <w:jc w:val="center"/>
    </w:pPr>
    <w:rPr>
      <w:rFonts w:ascii="黑体" w:hAnsi="黑体" w:eastAsia="黑体" w:cs="黑体"/>
      <w:sz w:val="21"/>
      <w:szCs w:val="21"/>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7"/>
    <w:qFormat/>
    <w:uiPriority w:val="0"/>
    <w:pPr>
      <w:ind w:firstLine="0" w:firstLineChars="0"/>
      <w:jc w:val="left"/>
    </w:pPr>
  </w:style>
  <w:style w:type="paragraph" w:customStyle="1" w:styleId="23">
    <w:name w:val="日期文号"/>
    <w:basedOn w:val="7"/>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关于适用《中华人民共和国仲裁法》若干问题的解释.wpt</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2018-12-27T10:05:00Z</dcterms:created>
  <dc:creator> 麦莫瑞文化传播有限公司</dc:creator>
  <cp:lastModifiedBy> 麦莫瑞文化传播有限公司</cp:lastModifiedBy>
  <dcterms:modified xsi:type="dcterms:W3CDTF">2018-12-27T10:43:58Z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