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最高人民法院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关于适用《中华人民共和国公司法》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若干问题的规定（一）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 w:ascii="Times New Roman" w:hAnsi="Times New Roman" w:cs="Times New Roman"/>
        </w:rPr>
        <w:t>2006年3月27日最高人民法院审判委员会第1382次会议通过</w:t>
      </w:r>
      <w:r>
        <w:rPr>
          <w:rFonts w:hint="default" w:ascii="Times New Roman" w:hAnsi="Times New Roman" w:cs="Times New Roman"/>
          <w:lang w:val="en-US" w:eastAsia="zh-CN"/>
        </w:rPr>
        <w:t>　</w:t>
      </w:r>
      <w:r>
        <w:rPr>
          <w:rFonts w:hint="default" w:ascii="Times New Roman" w:hAnsi="Times New Roman" w:cs="Times New Roman"/>
        </w:rPr>
        <w:t>根据2014年2月17日最高人民法院审判委员会第1607次会议《关于修改关于适用〈中华人民共和国公司法〉若干问题的规定的决定》修正</w:t>
      </w:r>
      <w:r>
        <w:rPr>
          <w:rFonts w:hint="eastAsia"/>
          <w:lang w:eastAsia="zh-CN"/>
        </w:rPr>
        <w:t>）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Style w:val="17"/>
          <w:rFonts w:hint="eastAsia"/>
        </w:rPr>
      </w:pPr>
      <w:r>
        <w:rPr>
          <w:rFonts w:hint="eastAsia"/>
        </w:rPr>
        <w:t>为正确适</w:t>
      </w:r>
      <w:r>
        <w:rPr>
          <w:rFonts w:hint="default" w:ascii="Times New Roman" w:hAnsi="Times New Roman" w:cs="Times New Roman"/>
        </w:rPr>
        <w:t>用2005年10月27日</w:t>
      </w:r>
      <w:r>
        <w:rPr>
          <w:rFonts w:hint="eastAsia"/>
        </w:rPr>
        <w:t>十届全国人大常委会第十八次会议修订的《中华人民共和国公司法》，对人民法院在审理相关的民事纠纷案件中，具体适用公司法的有关问题规定如下：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Style w:val="17"/>
          <w:rFonts w:hint="eastAsia"/>
        </w:rPr>
      </w:pPr>
      <w:r>
        <w:rPr>
          <w:rStyle w:val="17"/>
          <w:rFonts w:hint="eastAsia"/>
        </w:rPr>
        <w:t>第一</w:t>
      </w:r>
      <w:r>
        <w:rPr>
          <w:rStyle w:val="17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公</w:t>
      </w:r>
      <w:bookmarkStart w:id="0" w:name="_GoBack"/>
      <w:bookmarkEnd w:id="0"/>
      <w:r>
        <w:rPr>
          <w:rFonts w:hint="eastAsia"/>
        </w:rPr>
        <w:t>司法实施后，人民法院尚未审结的和新受理的民事案件，其民事行为或事件发生在公司法实施以前的，适用当时的法律法规和司法解释。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Style w:val="17"/>
          <w:rFonts w:hint="eastAsia"/>
        </w:rPr>
      </w:pPr>
      <w:r>
        <w:rPr>
          <w:rStyle w:val="17"/>
          <w:rFonts w:hint="eastAsia"/>
        </w:rPr>
        <w:t>第二</w:t>
      </w:r>
      <w:r>
        <w:rPr>
          <w:rStyle w:val="17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因公司法实施前有关民事行为或者事件发生纠纷起诉到人民法院的，如当时的法律法规和司法解释没有明确规定时，可参照适用公司法的有关规定。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Style w:val="17"/>
          <w:rFonts w:hint="eastAsia"/>
        </w:rPr>
      </w:pPr>
      <w:r>
        <w:rPr>
          <w:rStyle w:val="17"/>
          <w:rFonts w:hint="eastAsia"/>
        </w:rPr>
        <w:t>第三</w:t>
      </w:r>
      <w:r>
        <w:rPr>
          <w:rStyle w:val="17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原告以公司法第二十二条第二款、第七十四条第二款规定事由，向人民法院提起诉讼时，超过公司法规定期限的，人民法院不予受理。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Style w:val="17"/>
          <w:rFonts w:hint="eastAsia"/>
        </w:rPr>
      </w:pPr>
      <w:r>
        <w:rPr>
          <w:rStyle w:val="17"/>
          <w:rFonts w:hint="eastAsia"/>
        </w:rPr>
        <w:t>第四</w:t>
      </w:r>
      <w:r>
        <w:rPr>
          <w:rStyle w:val="17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公司法第一百五十一条规</w:t>
      </w:r>
      <w:r>
        <w:rPr>
          <w:rFonts w:hint="default" w:ascii="Times New Roman" w:hAnsi="Times New Roman" w:cs="Times New Roman"/>
        </w:rPr>
        <w:t>定的180日以上连</w:t>
      </w:r>
      <w:r>
        <w:rPr>
          <w:rFonts w:hint="eastAsia"/>
        </w:rPr>
        <w:t>续持股期间，应为股东向人民法院提起诉讼时，已期满的持股时间；规定的合计持有公司百分之一以上股份，是指两个以上股东持股份额的合计。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Style w:val="17"/>
          <w:rFonts w:hint="eastAsia"/>
        </w:rPr>
      </w:pPr>
      <w:r>
        <w:rPr>
          <w:rStyle w:val="17"/>
          <w:rFonts w:hint="eastAsia"/>
        </w:rPr>
        <w:t>第五</w:t>
      </w:r>
      <w:r>
        <w:rPr>
          <w:rStyle w:val="17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人民法院对公司法实施前已经终审的案件依法进行再审时，不适用公司法的规定。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/>
        </w:rPr>
      </w:pPr>
      <w:r>
        <w:rPr>
          <w:rStyle w:val="17"/>
          <w:rFonts w:hint="eastAsia"/>
        </w:rPr>
        <w:t>第六</w:t>
      </w:r>
      <w:r>
        <w:rPr>
          <w:rStyle w:val="17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本规定自公布之日起实施。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Y1MDQzZmY1NzY5NGM2MTc4ZGE2NzNkNzlhMTJiOWUifQ=="/>
  </w:docVars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9A34AE0"/>
    <w:rsid w:val="0D9804AC"/>
    <w:rsid w:val="1DF816EF"/>
    <w:rsid w:val="2A7E1274"/>
    <w:rsid w:val="2B436358"/>
    <w:rsid w:val="3DE63740"/>
    <w:rsid w:val="481351D2"/>
    <w:rsid w:val="49377B22"/>
    <w:rsid w:val="53543565"/>
    <w:rsid w:val="558A062C"/>
    <w:rsid w:val="61492470"/>
    <w:rsid w:val="622F12CF"/>
    <w:rsid w:val="6C3416C6"/>
    <w:rsid w:val="775E6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字符"/>
    <w:link w:val="3"/>
    <w:qFormat/>
    <w:uiPriority w:val="99"/>
    <w:rPr>
      <w:sz w:val="18"/>
      <w:szCs w:val="18"/>
    </w:rPr>
  </w:style>
  <w:style w:type="character" w:customStyle="1" w:styleId="11">
    <w:name w:val="页眉 字符"/>
    <w:link w:val="4"/>
    <w:qFormat/>
    <w:uiPriority w:val="99"/>
    <w:rPr>
      <w:sz w:val="18"/>
      <w:szCs w:val="18"/>
    </w:rPr>
  </w:style>
  <w:style w:type="paragraph" w:customStyle="1" w:styleId="12">
    <w:name w:val="法 标题"/>
    <w:qFormat/>
    <w:uiPriority w:val="0"/>
    <w:pPr>
      <w:widowControl w:val="0"/>
      <w:spacing w:line="560" w:lineRule="exact"/>
      <w:jc w:val="center"/>
    </w:pPr>
    <w:rPr>
      <w:rFonts w:ascii="仿宋_GB2312" w:hAnsi="仿宋_GB2312" w:eastAsia="宋体" w:cs="仿宋_GB2312"/>
      <w:kern w:val="2"/>
      <w:sz w:val="44"/>
      <w:szCs w:val="32"/>
      <w:lang w:val="en-US" w:eastAsia="zh-CN" w:bidi="ar-SA"/>
    </w:rPr>
  </w:style>
  <w:style w:type="paragraph" w:customStyle="1" w:styleId="13">
    <w:name w:val="法 法释后"/>
    <w:qFormat/>
    <w:uiPriority w:val="0"/>
    <w:pPr>
      <w:widowControl w:val="0"/>
      <w:spacing w:line="560" w:lineRule="exact"/>
      <w:ind w:left="300" w:leftChars="300" w:right="300" w:rightChars="300"/>
      <w:jc w:val="both"/>
    </w:pPr>
    <w:rPr>
      <w:rFonts w:ascii="楷体_GB2312" w:hAnsi="楷体" w:eastAsia="楷体_GB2312" w:cs="宋体"/>
      <w:kern w:val="2"/>
      <w:sz w:val="32"/>
      <w:szCs w:val="30"/>
      <w:lang w:val="en-US" w:eastAsia="zh-CN" w:bidi="ar-SA"/>
    </w:rPr>
  </w:style>
  <w:style w:type="paragraph" w:customStyle="1" w:styleId="14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5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16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character" w:customStyle="1" w:styleId="17">
    <w:name w:val="条文"/>
    <w:basedOn w:val="6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7412</Words>
  <Characters>7431</Characters>
  <Lines>1</Lines>
  <Paragraphs>1</Paragraphs>
  <TotalTime>2</TotalTime>
  <ScaleCrop>false</ScaleCrop>
  <LinksUpToDate>false</LinksUpToDate>
  <CharactersWithSpaces>7527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雷</cp:lastModifiedBy>
  <dcterms:modified xsi:type="dcterms:W3CDTF">2023-09-27T09:11:33Z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2052-12.1.0.15374</vt:lpwstr>
  </property>
</Properties>
</file>