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lang w:eastAsia="zh-CN"/>
        </w:rPr>
      </w:pP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关于适用《中华人民共和国公司法》</w:t>
      </w:r>
    </w:p>
    <w:p>
      <w:pPr>
        <w:jc w:val="center"/>
      </w:pPr>
      <w:r>
        <w:rPr>
          <w:rFonts w:ascii="宋体" w:hAnsi="宋体" w:eastAsia="宋体"/>
          <w:sz w:val="44"/>
        </w:rPr>
        <w:t>若干问题的规定（四）</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12月5日最高人民法院审判委员会第1702次会议通过，根据2020年12月23日最高人民法院审判委员会第1823次会议通过的《最高人民法院关于修改〈最高人民法院关于破产企业国有划拨土地使用权应否列入破产财产等问题的批复〉等二十九件商事类司法解释的决定》修正）</w:t>
      </w:r>
    </w:p>
    <w:p>
      <w:pPr>
        <w:rPr>
          <w:rFonts w:hint="eastAsia" w:ascii="宋体" w:hAnsi="宋体" w:eastAsia="宋体" w:cs="宋体"/>
          <w:sz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为正确适用《中华人民共和国公司法》，结合人民法院审判实践，现就公司决议效力、股东知情权、利润分配权、优先购买权和股东代表诉讼等案件适用法律问题作出如下规定。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公司股东、董事、监事等请求确认股东会或者股东大会、董事会决议无效或者不成立的，人民法院应当依法予以受理。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依据民法典第八十五条、公司法第二十二条第二款请求撤销股东会或者股东大会、董事会决议的原告，应当在起诉时具有公司股东资格。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原告请求确认股东会或者股东大会、董事会决议不成立、无效或者撤销决议的案件，应当列公司为被告。对决议涉及的其他利害关系人，可以依法列为第三人。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一审法庭辩论终结前，其他有原告资格的人以相同的诉讼请求申请参加前款规定诉讼的，可以列为共同原告。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股东请求撤销股东会或者股东大会、董事会决议，符合民法典第八十五条、公司法第二十二条第二款规定的，人民法院应当予以支持，但会议召集程序或者表决方式仅有轻微瑕疵，且对决议未产生实质影响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股东会或者股东大会、董事会决议存在下列情形之一，当事人主张决议不成立的，人民法院应当予以支持：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（一）公司未召开会议的，但依据公司法第三十七条第二款或者公司章程规定可以不召开股东会或者股东大会而直接作出决定，并由全体股东在决定文件上签名、盖章的除外；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（二）会议未对决议事项进行表决的；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（三）出席会议的人数或者股东所持表决权不符合公司法或者公司章程规定的；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（四）会议的表决结果未达到公司法或者公司章程规定的通过比例的；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（五）导致决议不成立的其他情形。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股东会或者股东大会、董事会决议被人民法院判决确认无效或者撤销的，公司依据该决议与善意相对人形成的民事法律关系不受影响。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股东依据公司法第三十三条、第九十七条或者公司章程的规定，起诉请求查阅或者复制公司特定文件材料的，人民法院应当依法予以受理。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公司有证据证明前款规定的原告在起诉时不具有公司股东资格的，人民法院应当驳回起诉，但原告有初步证据证明在持股期间其合法权益受到损害，请求依法查阅或者复制其持股期间的公司特定文件材料的除外。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有限责任公司有证据证明股东存在下列情形之一的，人民法院应当认定股东有公司法第三十三条第二款规定的“不正当目的”：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（一）股东自营或者为他人经营与公司主营业务有实质性竞争关系业务的，但公司章程另有规定或者全体股东另有约定的除外；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（二）股东为了向他人通报有关信息查阅公司会计账簿，可能损害公司合法利益的；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（三）股东在向公司提出查阅请求之日前的三年内，曾通过查阅公司会计账簿，向他人通报有关信息损害公司合法利益的；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（四）股东有不正当目的的其他情形。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公司章程、股东之间的协议等实质性剥夺股东依据公司法第三十三条、第九十七条规定查阅或者复制公司文件材料的权利，公司以此为由拒绝股东查阅或者复制的，人民法院不予支持。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人民法院审理股东请求查阅或者复制公司特定文件材料的案件，对原告诉讼请求予以支持的，应当在判决中明确查阅或者复制公司特定文件材料的时间、地点和特定文件材料的名录。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股东依据人民法院生效判决查阅公司文件材料的，在该股东在场的情况下，可以由会计师、律师等依法或者依据执业行为规范负有保密义务的中介机构执业人员辅助进行。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股东行使知情权后泄露公司商业秘密导致公司合法利益受到损害，公司请求该股东赔偿相关损失的，人民法院应当予以支持。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根据本规定第十条辅助股东查阅公司文件材料的会计师、律师等泄露公司商业秘密导致公司合法利益受到损害，公司请求其赔偿相关损失的，人民法院应当予以支持。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司董事、高级管理人员等未依法履行职责，导致公司未依法制作或者保存公司法第三十三条、第九十七条规定的公司文件材料，给股东造成损失，股东依法请求负有相应责任的公司董事、高级管理人员承担民事赔偿责任的，人民法院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股东请求公司分配利润案件，应当列公司为被告。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一审法庭辩论终结前，其他股东基于同一分配方案请求分配利润并申请参加诉讼的，应当列为共同原告。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股东提交载明具体分配方案的股东会或者股东大会的有效决议，请求公司分配利润，公司拒绝分配利润且其关于无法执行决议的抗辩理由不成立的，人民法院应当判决公司按照决议载明的具体分配方案向股东分配利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股东未提交载明具体分配方案的股东会或者股东大会决议，请求公司分配利润的，人民法院应当驳回其诉讼请求，但违反法律规定滥用股东权利导致公司不分配利润，给其他股东造成损失的除外。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有限责任公司的自然人股东因继承发生变化时，其他股东主张依据公司法第七十一条第三款规定行使优先购买权的，人民法院不予支持，但公司章程另有规定或者全体股东另有约定的除外。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有限责任公司的股东向股东以外的人转让股权，应就其股权转让事项以书面或者其他能够确认收悉的合理方式通知其他股东征求同意。其他股东半数以上不同意转让，不同意的股东不购买的，人民法院应当认定视为同意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经股东同意转让的股权，其他股东主张转让股东应当向其以书面或者其他能够确认收悉的合理方式通知转让股权的同等条件的，人民法院应当予以支持。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经股东同意转让的股权，在同等条件下，转让股东以外的其他股东主张优先购买的，人民法院应当予以支持，但转让股东依据本规定第二十条放弃转让的除外。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人民法院在判断是否符合公司法第七十一条第三款及本规定所称的“同等条件”时，应当考虑转让股权的数量、价格、支付方式及期限等因素。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限责任公司的股东主张优先购买转让股权的，应当在收到通知后，在公司章程规定的行使期间内提出购买请求。公司章程没有规定行使期间或者规定不明确的，以通知确定的期间为准，通知确定的期间短于三十日或者未明确行使期间的，行使期间为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限责任公司的转让股东，在其他股东主张优先购买后又不同意转让股权的，对其他股东优先购买的主张，人民法院不予支持，但公司章程另有规定或者全体股东另有约定的除外。其他股东主张转让股东赔偿其损失合理的，人民法院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限责任公司的股东向股东以外的人转让股权，未就其股权转让事项征求其他股东意见，或者以欺诈、恶意串通等手段，损害其他股东优先购买权，其他股东主张按照同等条件购买该转让股权的，人民法院应当予以支持，但其他股东自知道或者应当知道行使优先购买权的同等条件之日起三十日内没有主张，或者自股权变更登记之日起超过一年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前款规定的其他股东仅提出确认股权转让合同及股权变动效力等请求，未同时主张按照同等条件购买转让股权的，人民法院不予支持，但其他股东非因自身原因导致无法行使优先购买权，请求损害赔偿的除外。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股东以外的股权受让人，因股东行使优先购买权而不能实现合同目的的，可以依法请求转让股东承担相应民事责任。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通过拍卖向股东以外的人转让有限责任公司股权的，适用公司法第七十一条第二款、第三款或者第七十二条规定的“书面通知”“通知”“同等条件”时，根据相关法律、司法解释确定。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在依法设立的产权交易场所转让有限责任公司国有股权的，适用公司法第七十一条第二款、第三款或者第七十二条规定的“书面通知”“通知”“同等条件”时，可以参照产权交易场所的交易规则。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监事会或者不设监事会的有限责任公司的监事依据公司法第一百五十一条第一款规定对董事、高级管理人员提起诉讼的，应当列公司为原告，依法由监事会主席或者不设监事会的有限责任公司的监事代表公司进行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董事会或者不设董事会的有限责任公司的执行董事依据公司法第一百五十一条第一款规定对监事提起诉讼的，或者依据公司法第一百五十一条第三款规定对他人提起诉讼的，应当列公司为原告，依法由董事长或者执行董事代表公司进行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符合公司法第一百五十一条第一款规定条件的股东，依据公司法第一百五十一条第二款、第三款规定，直接对董事、监事、高级管理人员或者他人提起诉讼的，应当列公司为第三人参加诉讼。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一审法庭辩论终结前，符合公司法第一百五十一条第一款规定条件的其他股东，以相同的诉讼请求申请参加诉讼的，应当列为共同原告。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股东依据公司法第一百五十一条第二款、第三款规定直接提起诉讼的案件，胜诉利益归属于公司。股东请求被告直接向其承担民事责任的，人民法院不予支持。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股东依据公司法第一百五十一条第二款、第三款规定直接提起诉讼的案件，其诉讼请求部分或者全部得到人民法院支持的，公司应当承担股东因参加诉讼支付的合理费用。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本规定自2017年9月1日起施行。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本规定施行后尚未终审的案件，适用本规定；本规定施行前已经终审的案件，或者适用审判监督程序再审的案件，不适用本规定。</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73E6D"/>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7E78B3"/>
    <w:rsid w:val="344634A2"/>
    <w:rsid w:val="3DE63740"/>
    <w:rsid w:val="3E6D60FF"/>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3683</Words>
  <Characters>3701</Characters>
  <Lines>0</Lines>
  <Paragraphs>0</Paragraphs>
  <TotalTime>2</TotalTime>
  <ScaleCrop>false</ScaleCrop>
  <LinksUpToDate>false</LinksUpToDate>
  <CharactersWithSpaces>3728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2024-06-06T11:08:05Z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