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478" w:rsidRDefault="005A3478" w:rsidP="00E96E71">
      <w:pPr>
        <w:pStyle w:val="ab"/>
        <w:ind w:firstLine="640"/>
      </w:pPr>
    </w:p>
    <w:p w:rsidR="00E96E71" w:rsidRPr="00E96E71" w:rsidRDefault="00E96E71" w:rsidP="00E96E71">
      <w:pPr>
        <w:pStyle w:val="ab"/>
        <w:ind w:firstLine="640"/>
      </w:pPr>
    </w:p>
    <w:p w:rsidR="005A3478" w:rsidRDefault="006C077A" w:rsidP="00E96E71">
      <w:pPr>
        <w:pStyle w:val="a8"/>
      </w:pPr>
      <w:r>
        <w:rPr>
          <w:rFonts w:hint="eastAsia"/>
        </w:rPr>
        <w:t>最高人民法院</w:t>
      </w:r>
    </w:p>
    <w:p w:rsidR="005A3478" w:rsidRPr="00E96E71" w:rsidRDefault="006C077A" w:rsidP="00E96E71">
      <w:pPr>
        <w:pStyle w:val="a8"/>
      </w:pPr>
      <w:r w:rsidRPr="00E96E71">
        <w:rPr>
          <w:rFonts w:hint="eastAsia"/>
        </w:rPr>
        <w:t>关于适用《中华人民共和国反不正当竞争法》</w:t>
      </w:r>
    </w:p>
    <w:p w:rsidR="005A3478" w:rsidRPr="00E96E71" w:rsidRDefault="006C077A" w:rsidP="00E96E71">
      <w:pPr>
        <w:pStyle w:val="a8"/>
      </w:pPr>
      <w:r w:rsidRPr="00E96E71">
        <w:rPr>
          <w:rFonts w:hint="eastAsia"/>
        </w:rPr>
        <w:t>若干问题的解释</w:t>
      </w:r>
    </w:p>
    <w:p w:rsidR="009C4667" w:rsidRPr="00E96E71" w:rsidRDefault="009C4667" w:rsidP="00E96E71">
      <w:pPr>
        <w:pStyle w:val="ab"/>
        <w:ind w:firstLine="640"/>
      </w:pPr>
    </w:p>
    <w:p w:rsidR="009C4667" w:rsidRPr="00E96E71" w:rsidRDefault="009C4667" w:rsidP="00E96E71">
      <w:pPr>
        <w:pStyle w:val="a9"/>
      </w:pPr>
      <w:r w:rsidRPr="00E96E71">
        <w:rPr>
          <w:rFonts w:hint="eastAsia"/>
        </w:rPr>
        <w:t>法释〔2022〕9号</w:t>
      </w:r>
    </w:p>
    <w:p w:rsidR="009C4667" w:rsidRDefault="009C4667" w:rsidP="00E96E71">
      <w:pPr>
        <w:pStyle w:val="ab"/>
        <w:ind w:firstLine="640"/>
      </w:pPr>
    </w:p>
    <w:p w:rsidR="005A3478" w:rsidRPr="00E96E71" w:rsidRDefault="006C077A" w:rsidP="00E96E71">
      <w:pPr>
        <w:pStyle w:val="aa"/>
        <w:ind w:left="630" w:right="630"/>
      </w:pPr>
      <w:r w:rsidRPr="00E96E71">
        <w:rPr>
          <w:rFonts w:hint="eastAsia"/>
        </w:rPr>
        <w:t>（2022年1月29日最高人民法院审判委员会第1862次会议通过，自2022年3月20日起施行）</w:t>
      </w:r>
    </w:p>
    <w:p w:rsidR="005A3478" w:rsidRDefault="005A3478" w:rsidP="00F77A51">
      <w:pPr>
        <w:pStyle w:val="ab"/>
        <w:ind w:firstLine="640"/>
      </w:pPr>
    </w:p>
    <w:p w:rsidR="005A3478" w:rsidRDefault="006C077A" w:rsidP="00F77A51">
      <w:pPr>
        <w:pStyle w:val="ab"/>
        <w:ind w:firstLine="640"/>
      </w:pPr>
      <w:r>
        <w:rPr>
          <w:rFonts w:hint="eastAsia"/>
        </w:rPr>
        <w:t>为正确审理因不正当竞争行为引发的民事案件，根据《中华人民共和国民法典》《中华人民共和国反不正当竞争法》《中华人民共和国民事诉讼法》等有关法律规定，结合审判实践，制定本解释。</w:t>
      </w:r>
    </w:p>
    <w:p w:rsidR="005A3478" w:rsidRDefault="006C077A" w:rsidP="00F77A51">
      <w:pPr>
        <w:pStyle w:val="ab"/>
        <w:ind w:firstLine="640"/>
      </w:pPr>
      <w:r w:rsidRPr="00954A4D">
        <w:rPr>
          <w:rStyle w:val="ac"/>
          <w:rFonts w:hint="eastAsia"/>
        </w:rPr>
        <w:t>第一条</w:t>
      </w:r>
      <w:r w:rsidR="00954A4D" w:rsidRPr="00954A4D">
        <w:rPr>
          <w:rStyle w:val="ac"/>
          <w:rFonts w:hint="eastAsia"/>
        </w:rPr>
        <w:t xml:space="preserve">　</w:t>
      </w:r>
      <w:r>
        <w:rPr>
          <w:rFonts w:hint="eastAsia"/>
        </w:rPr>
        <w:t>经营者扰乱市场竞争秩序，损害其他经营者或者消费者合法权益，且属于违反反不正当竞争法第二章及专利法、商标法、著作权法等规定之外情形的，人民法院可以适用反不正当竞争法第二条予以认定。</w:t>
      </w:r>
    </w:p>
    <w:p w:rsidR="005A3478" w:rsidRDefault="006C077A" w:rsidP="00F77A51">
      <w:pPr>
        <w:pStyle w:val="ab"/>
        <w:ind w:firstLine="640"/>
      </w:pPr>
      <w:r w:rsidRPr="00954A4D">
        <w:rPr>
          <w:rStyle w:val="ac"/>
          <w:rFonts w:hint="eastAsia"/>
        </w:rPr>
        <w:t>第二条</w:t>
      </w:r>
      <w:r w:rsidR="00954A4D" w:rsidRPr="00954A4D">
        <w:rPr>
          <w:rStyle w:val="ac"/>
          <w:rFonts w:hint="eastAsia"/>
        </w:rPr>
        <w:t xml:space="preserve">　</w:t>
      </w:r>
      <w:r>
        <w:rPr>
          <w:rFonts w:hint="eastAsia"/>
        </w:rPr>
        <w:t>与经营者在生产经营活动中存在可能的争夺交易机会、损害竞争优势等关系的市场主体，人民法院可以认定为反不正当竞争法第二条规定的“其他经营者”。</w:t>
      </w:r>
    </w:p>
    <w:p w:rsidR="005A3478" w:rsidRDefault="006C077A" w:rsidP="00F77A51">
      <w:pPr>
        <w:pStyle w:val="ab"/>
        <w:ind w:firstLine="640"/>
      </w:pPr>
      <w:r w:rsidRPr="00954A4D">
        <w:rPr>
          <w:rStyle w:val="ac"/>
          <w:rFonts w:hint="eastAsia"/>
        </w:rPr>
        <w:lastRenderedPageBreak/>
        <w:t>第三条</w:t>
      </w:r>
      <w:r w:rsidR="00954A4D" w:rsidRPr="00954A4D">
        <w:rPr>
          <w:rStyle w:val="ac"/>
          <w:rFonts w:hint="eastAsia"/>
        </w:rPr>
        <w:t xml:space="preserve">　</w:t>
      </w:r>
      <w:r>
        <w:rPr>
          <w:rFonts w:hint="eastAsia"/>
        </w:rPr>
        <w:t>特定商业领域普遍遵循和认可的行为规范，人民法院可以认定为反不正当竞争法第二条规定的“商业道德”。</w:t>
      </w:r>
    </w:p>
    <w:p w:rsidR="005A3478" w:rsidRDefault="006C077A" w:rsidP="00F77A51">
      <w:pPr>
        <w:pStyle w:val="ab"/>
        <w:ind w:firstLine="640"/>
      </w:pPr>
      <w:r>
        <w:rPr>
          <w:rFonts w:hint="eastAsia"/>
        </w:rPr>
        <w:t>人民法院应当结合案件具体情况，综合考虑行业规则或者商业惯例、经营者的主观状态、交易相对人的选择意愿、对消费者权益、市场竞争秩序、社会公共利益的影响等因素，依法判断经营者是否违反商业道德。</w:t>
      </w:r>
    </w:p>
    <w:p w:rsidR="005A3478" w:rsidRDefault="006C077A" w:rsidP="00F77A51">
      <w:pPr>
        <w:pStyle w:val="ab"/>
        <w:ind w:firstLine="640"/>
      </w:pPr>
      <w:r>
        <w:rPr>
          <w:rFonts w:hint="eastAsia"/>
        </w:rPr>
        <w:t>人民法院认定经营者是否违反商业道德时，可以参考行业主管部门、行业协会或者自律组织制定的从业规范、技术规范、自律公约等。</w:t>
      </w:r>
    </w:p>
    <w:p w:rsidR="005A3478" w:rsidRDefault="006C077A" w:rsidP="00F77A51">
      <w:pPr>
        <w:pStyle w:val="ab"/>
        <w:ind w:firstLine="640"/>
      </w:pPr>
      <w:r w:rsidRPr="00954A4D">
        <w:rPr>
          <w:rStyle w:val="ac"/>
          <w:rFonts w:hint="eastAsia"/>
        </w:rPr>
        <w:t>第四条</w:t>
      </w:r>
      <w:r w:rsidR="00954A4D" w:rsidRPr="00954A4D">
        <w:rPr>
          <w:rStyle w:val="ac"/>
          <w:rFonts w:hint="eastAsia"/>
        </w:rPr>
        <w:t xml:space="preserve">　</w:t>
      </w:r>
      <w:r>
        <w:rPr>
          <w:rFonts w:hint="eastAsia"/>
        </w:rPr>
        <w:t>具有一定的市场知名度并具有区别商品来源的显著特征的标识，人民法院可以认定为反不正当竞争法第六条规定的“有一定影响的”标识。</w:t>
      </w:r>
    </w:p>
    <w:p w:rsidR="005A3478" w:rsidRDefault="006C077A" w:rsidP="00F77A51">
      <w:pPr>
        <w:pStyle w:val="ab"/>
        <w:ind w:firstLine="640"/>
      </w:pPr>
      <w:r>
        <w:rPr>
          <w:rFonts w:hint="eastAsia"/>
        </w:rPr>
        <w:t>人民法院认定反不正当竞争法第六条规定的标识是否具有一定的市场知名度，应当综合考虑中国境内相关公众的知悉程度，商品销售的时间、区域、数额和对象，宣传的持续时间、程度和地域范围，标识受保护的情况等因素。</w:t>
      </w:r>
    </w:p>
    <w:p w:rsidR="005A3478" w:rsidRDefault="006C077A" w:rsidP="00F77A51">
      <w:pPr>
        <w:pStyle w:val="ab"/>
        <w:ind w:firstLine="640"/>
      </w:pPr>
      <w:r w:rsidRPr="00954A4D">
        <w:rPr>
          <w:rStyle w:val="ac"/>
          <w:rFonts w:hint="eastAsia"/>
        </w:rPr>
        <w:t>第五条</w:t>
      </w:r>
      <w:r w:rsidR="00954A4D" w:rsidRPr="00954A4D">
        <w:rPr>
          <w:rStyle w:val="ac"/>
          <w:rFonts w:hint="eastAsia"/>
        </w:rPr>
        <w:t xml:space="preserve">　</w:t>
      </w:r>
      <w:r>
        <w:rPr>
          <w:rFonts w:hint="eastAsia"/>
        </w:rPr>
        <w:t>反不正当竞争法第六条规定的标识有下列情形之一的，人民法院应当认定其不具有区别商品来源的显著特征:</w:t>
      </w:r>
    </w:p>
    <w:p w:rsidR="005A3478" w:rsidRDefault="006C077A" w:rsidP="00F77A51">
      <w:pPr>
        <w:pStyle w:val="ab"/>
        <w:ind w:firstLine="640"/>
      </w:pPr>
      <w:r>
        <w:rPr>
          <w:rFonts w:hint="eastAsia"/>
        </w:rPr>
        <w:t>（一）商品的通用名称、图形、型号;</w:t>
      </w:r>
    </w:p>
    <w:p w:rsidR="005A3478" w:rsidRDefault="006C077A" w:rsidP="00F77A51">
      <w:pPr>
        <w:pStyle w:val="ab"/>
        <w:ind w:firstLine="640"/>
      </w:pPr>
      <w:r>
        <w:rPr>
          <w:rFonts w:hint="eastAsia"/>
        </w:rPr>
        <w:t>（二）仅直接表示商品的质量、主要原料、功能、用途、重量、数量及其他特点的标识;</w:t>
      </w:r>
    </w:p>
    <w:p w:rsidR="005A3478" w:rsidRDefault="006C077A" w:rsidP="00F77A51">
      <w:pPr>
        <w:pStyle w:val="ab"/>
        <w:ind w:firstLine="640"/>
      </w:pPr>
      <w:r>
        <w:rPr>
          <w:rFonts w:hint="eastAsia"/>
        </w:rPr>
        <w:t>（三）仅由商品自身的性质产生的形状，为获得技术效果而</w:t>
      </w:r>
      <w:r>
        <w:rPr>
          <w:rFonts w:hint="eastAsia"/>
        </w:rPr>
        <w:lastRenderedPageBreak/>
        <w:t>需有的商品形状以及使商品具有实质性价值的形状;</w:t>
      </w:r>
    </w:p>
    <w:p w:rsidR="005A3478" w:rsidRDefault="006C077A" w:rsidP="00F77A51">
      <w:pPr>
        <w:pStyle w:val="ab"/>
        <w:ind w:firstLine="640"/>
      </w:pPr>
      <w:r>
        <w:rPr>
          <w:rFonts w:hint="eastAsia"/>
        </w:rPr>
        <w:t>（四）其他缺乏显著特征的标识。</w:t>
      </w:r>
    </w:p>
    <w:p w:rsidR="005A3478" w:rsidRDefault="006C077A" w:rsidP="00F77A51">
      <w:pPr>
        <w:pStyle w:val="ab"/>
        <w:ind w:firstLine="640"/>
      </w:pPr>
      <w:r>
        <w:rPr>
          <w:rFonts w:hint="eastAsia"/>
        </w:rPr>
        <w:t>前款第一项、第二项、第四项规定的标识经过使用取得显著特征，并具有一定的市场知名度，当事人请求依据反不正当竞争法第六条规定予以保护的，人民法院应予支持。</w:t>
      </w:r>
    </w:p>
    <w:p w:rsidR="005A3478" w:rsidRDefault="006C077A" w:rsidP="00F77A51">
      <w:pPr>
        <w:pStyle w:val="ab"/>
        <w:ind w:firstLine="640"/>
      </w:pPr>
      <w:r w:rsidRPr="00954A4D">
        <w:rPr>
          <w:rStyle w:val="ac"/>
          <w:rFonts w:hint="eastAsia"/>
        </w:rPr>
        <w:t>第六条</w:t>
      </w:r>
      <w:r w:rsidR="00954A4D" w:rsidRPr="00954A4D">
        <w:rPr>
          <w:rStyle w:val="ac"/>
          <w:rFonts w:hint="eastAsia"/>
        </w:rPr>
        <w:t xml:space="preserve">　</w:t>
      </w:r>
      <w:r>
        <w:rPr>
          <w:rFonts w:hint="eastAsia"/>
        </w:rPr>
        <w:t>因客观描述、说明商品而正当使用下列标识，当事人主张属于反不正当竞争法第六条规定的情形的，人民法院不予支持：</w:t>
      </w:r>
    </w:p>
    <w:p w:rsidR="005A3478" w:rsidRDefault="006C077A" w:rsidP="00F77A51">
      <w:pPr>
        <w:pStyle w:val="ab"/>
        <w:ind w:firstLine="640"/>
      </w:pPr>
      <w:r>
        <w:rPr>
          <w:rFonts w:hint="eastAsia"/>
        </w:rPr>
        <w:t>（一）含有本商品的通用名称、图形、型号；</w:t>
      </w:r>
    </w:p>
    <w:p w:rsidR="005A3478" w:rsidRDefault="006C077A" w:rsidP="00F77A51">
      <w:pPr>
        <w:pStyle w:val="ab"/>
        <w:ind w:firstLine="640"/>
      </w:pPr>
      <w:r>
        <w:rPr>
          <w:rFonts w:hint="eastAsia"/>
        </w:rPr>
        <w:t>（二）直接表示商品的质量、主要原料、功能、用途、重量、数量以及其他特点；</w:t>
      </w:r>
    </w:p>
    <w:p w:rsidR="005A3478" w:rsidRDefault="006C077A" w:rsidP="00F77A51">
      <w:pPr>
        <w:pStyle w:val="ab"/>
        <w:ind w:firstLine="640"/>
      </w:pPr>
      <w:r>
        <w:rPr>
          <w:rFonts w:hint="eastAsia"/>
        </w:rPr>
        <w:t>（三）含有地名。</w:t>
      </w:r>
    </w:p>
    <w:p w:rsidR="005A3478" w:rsidRDefault="006C077A" w:rsidP="00F77A51">
      <w:pPr>
        <w:pStyle w:val="ab"/>
        <w:ind w:firstLine="640"/>
      </w:pPr>
      <w:r w:rsidRPr="00954A4D">
        <w:rPr>
          <w:rStyle w:val="ac"/>
          <w:rFonts w:hint="eastAsia"/>
        </w:rPr>
        <w:t>第七条</w:t>
      </w:r>
      <w:r w:rsidR="00954A4D" w:rsidRPr="00954A4D">
        <w:rPr>
          <w:rStyle w:val="ac"/>
          <w:rFonts w:hint="eastAsia"/>
        </w:rPr>
        <w:t xml:space="preserve">　</w:t>
      </w:r>
      <w:r>
        <w:rPr>
          <w:rFonts w:hint="eastAsia"/>
        </w:rPr>
        <w:t>反不正当竞争法第六条规定的标识或者其显著识别部分属于商标法第十条第一款规定的不得作为商标使用的标志，当事人请求依据反不正当竞争法第六条规定予以保护的，人民法院不予支持。</w:t>
      </w:r>
    </w:p>
    <w:p w:rsidR="005A3478" w:rsidRDefault="006C077A" w:rsidP="00F77A51">
      <w:pPr>
        <w:pStyle w:val="ab"/>
        <w:ind w:firstLine="640"/>
      </w:pPr>
      <w:r w:rsidRPr="00954A4D">
        <w:rPr>
          <w:rStyle w:val="ac"/>
          <w:rFonts w:hint="eastAsia"/>
        </w:rPr>
        <w:t>第八条</w:t>
      </w:r>
      <w:r w:rsidR="00954A4D" w:rsidRPr="00954A4D">
        <w:rPr>
          <w:rStyle w:val="ac"/>
          <w:rFonts w:hint="eastAsia"/>
        </w:rPr>
        <w:t xml:space="preserve">　</w:t>
      </w:r>
      <w:r>
        <w:rPr>
          <w:rFonts w:hint="eastAsia"/>
        </w:rPr>
        <w:t>由经营者营业场所的装饰、营业用具的式样、营业人员的服饰等构成的具有独特风格的整体营业形象，人民法院可以认定为反不正当竞争法第六条第一项规定的“装潢”。</w:t>
      </w:r>
    </w:p>
    <w:p w:rsidR="005A3478" w:rsidRDefault="006C077A" w:rsidP="00F77A51">
      <w:pPr>
        <w:pStyle w:val="ab"/>
        <w:ind w:firstLine="640"/>
      </w:pPr>
      <w:r w:rsidRPr="00954A4D">
        <w:rPr>
          <w:rStyle w:val="ac"/>
          <w:rFonts w:hint="eastAsia"/>
        </w:rPr>
        <w:t>第九条</w:t>
      </w:r>
      <w:r w:rsidR="00954A4D" w:rsidRPr="00954A4D">
        <w:rPr>
          <w:rStyle w:val="ac"/>
          <w:rFonts w:hint="eastAsia"/>
        </w:rPr>
        <w:t xml:space="preserve">　</w:t>
      </w:r>
      <w:r>
        <w:rPr>
          <w:rFonts w:hint="eastAsia"/>
        </w:rPr>
        <w:t>市场主体登记管理部门依法登记的企业名称，以及在中国境内进行商业使用的境外企业名称，人民法院可以认定为反不正当竞争法第六条第二项规定的“企业名称”。</w:t>
      </w:r>
    </w:p>
    <w:p w:rsidR="005A3478" w:rsidRDefault="006C077A" w:rsidP="00F77A51">
      <w:pPr>
        <w:pStyle w:val="ab"/>
        <w:ind w:firstLine="640"/>
      </w:pPr>
      <w:r>
        <w:rPr>
          <w:rFonts w:hint="eastAsia"/>
        </w:rPr>
        <w:lastRenderedPageBreak/>
        <w:t>有一定影响的个体工商户、农民专业合作社（联合社）以及法律、行政法规规定的其他市场主体的名称（包括简称、字号等），人民法院可以依照反不正当竞争法第六条第二项予以认定。</w:t>
      </w:r>
    </w:p>
    <w:p w:rsidR="005A3478" w:rsidRDefault="006C077A" w:rsidP="00F77A51">
      <w:pPr>
        <w:pStyle w:val="ab"/>
        <w:ind w:firstLine="640"/>
      </w:pPr>
      <w:r w:rsidRPr="00954A4D">
        <w:rPr>
          <w:rStyle w:val="ac"/>
          <w:rFonts w:hint="eastAsia"/>
        </w:rPr>
        <w:t>第十条</w:t>
      </w:r>
      <w:r w:rsidR="00954A4D" w:rsidRPr="00954A4D">
        <w:rPr>
          <w:rStyle w:val="ac"/>
          <w:rFonts w:hint="eastAsia"/>
        </w:rPr>
        <w:t xml:space="preserve">　</w:t>
      </w:r>
      <w:r>
        <w:rPr>
          <w:rFonts w:hint="eastAsia"/>
        </w:rPr>
        <w:t>在中国境内将有一定影响的标识用于商品、商品包装或者容器以及商品交易文书上，或者广告宣传、展览以及其他商业活动中，用于识别商品来源的行为，人民法院可以认定为反不正当竞争法第六条规定的“使用”。</w:t>
      </w:r>
    </w:p>
    <w:p w:rsidR="005A3478" w:rsidRDefault="006C077A" w:rsidP="00F77A51">
      <w:pPr>
        <w:pStyle w:val="ab"/>
        <w:ind w:firstLine="640"/>
      </w:pPr>
      <w:r w:rsidRPr="00954A4D">
        <w:rPr>
          <w:rStyle w:val="ac"/>
          <w:rFonts w:hint="eastAsia"/>
        </w:rPr>
        <w:t>第十一条</w:t>
      </w:r>
      <w:r w:rsidR="00954A4D" w:rsidRPr="00954A4D">
        <w:rPr>
          <w:rStyle w:val="ac"/>
          <w:rFonts w:hint="eastAsia"/>
        </w:rPr>
        <w:t xml:space="preserve">　</w:t>
      </w:r>
      <w:r>
        <w:rPr>
          <w:rFonts w:hint="eastAsia"/>
        </w:rPr>
        <w:t>经营者擅自使用与他人有一定影响的企业名称（包括简称、字号等）、社会组织名称（包括简称等）、姓名（包括笔名、艺名、译名等）、域名主体部分、网站名称、网页等近似的标识，引人误认为是他人商品或者与他人存在特定联系，当事人主张属于反不正当竞争法第六条第二项、第三项规定的情形的，人民法院应予支持。</w:t>
      </w:r>
    </w:p>
    <w:p w:rsidR="005A3478" w:rsidRDefault="006C077A" w:rsidP="00F77A51">
      <w:pPr>
        <w:pStyle w:val="ab"/>
        <w:ind w:firstLine="640"/>
      </w:pPr>
      <w:r w:rsidRPr="00954A4D">
        <w:rPr>
          <w:rStyle w:val="ac"/>
          <w:rFonts w:hint="eastAsia"/>
        </w:rPr>
        <w:t>第十二条</w:t>
      </w:r>
      <w:r w:rsidR="00954A4D" w:rsidRPr="00954A4D">
        <w:rPr>
          <w:rStyle w:val="ac"/>
          <w:rFonts w:hint="eastAsia"/>
        </w:rPr>
        <w:t xml:space="preserve">　</w:t>
      </w:r>
      <w:r>
        <w:rPr>
          <w:rFonts w:hint="eastAsia"/>
        </w:rPr>
        <w:t>人民法院认定与反不正当竞争法第六条规定的“有一定影响的”标识相同或者近似，可以参照商标相同或者近似的判断原则和方法。</w:t>
      </w:r>
    </w:p>
    <w:p w:rsidR="005A3478" w:rsidRDefault="006C077A" w:rsidP="00F77A51">
      <w:pPr>
        <w:pStyle w:val="ab"/>
        <w:ind w:firstLine="640"/>
      </w:pPr>
      <w:r>
        <w:rPr>
          <w:rFonts w:hint="eastAsia"/>
        </w:rPr>
        <w:t>反不正当竞争法第六条规定的“引人误认为是他人商品或者与他人存在特定联系”，包括误认为与他人具有商业联合、许可使用、商业冠名、广告代言等特定联系。</w:t>
      </w:r>
    </w:p>
    <w:p w:rsidR="005A3478" w:rsidRDefault="006C077A" w:rsidP="00F77A51">
      <w:pPr>
        <w:pStyle w:val="ab"/>
        <w:ind w:firstLine="640"/>
      </w:pPr>
      <w:r>
        <w:rPr>
          <w:rFonts w:hint="eastAsia"/>
        </w:rPr>
        <w:t>在相同商品上使用相同或者视觉上基本无差别的商品名称、包装、装潢等标识，应当视为足以造成与他人有一定影响的标识相混淆。</w:t>
      </w:r>
    </w:p>
    <w:p w:rsidR="005A3478" w:rsidRDefault="006C077A" w:rsidP="00F77A51">
      <w:pPr>
        <w:pStyle w:val="ab"/>
        <w:ind w:firstLine="640"/>
      </w:pPr>
      <w:r w:rsidRPr="00954A4D">
        <w:rPr>
          <w:rStyle w:val="ac"/>
          <w:rFonts w:hint="eastAsia"/>
        </w:rPr>
        <w:lastRenderedPageBreak/>
        <w:t>第十三条</w:t>
      </w:r>
      <w:r w:rsidR="00954A4D" w:rsidRPr="00954A4D">
        <w:rPr>
          <w:rStyle w:val="ac"/>
          <w:rFonts w:hint="eastAsia"/>
        </w:rPr>
        <w:t xml:space="preserve">　</w:t>
      </w:r>
      <w:r>
        <w:rPr>
          <w:rFonts w:hint="eastAsia"/>
        </w:rPr>
        <w:t>经营者实施下列混淆行为之一，足以引人误认为是他人商品或者与他人存在特定联系的，人民法院可以依照反不正当竞争法第六条第四项予以认定：</w:t>
      </w:r>
    </w:p>
    <w:p w:rsidR="005A3478" w:rsidRDefault="006C077A" w:rsidP="00F77A51">
      <w:pPr>
        <w:pStyle w:val="ab"/>
        <w:ind w:firstLine="640"/>
      </w:pPr>
      <w:r>
        <w:rPr>
          <w:rFonts w:hint="eastAsia"/>
        </w:rPr>
        <w:t>（一）擅自使用反不正当竞争法第六条第一项、第二项、第三项规定以外“有一定影响的”标识；</w:t>
      </w:r>
    </w:p>
    <w:p w:rsidR="005A3478" w:rsidRDefault="006C077A" w:rsidP="00F77A51">
      <w:pPr>
        <w:pStyle w:val="ab"/>
        <w:ind w:firstLine="640"/>
      </w:pPr>
      <w:r>
        <w:rPr>
          <w:rFonts w:hint="eastAsia"/>
        </w:rPr>
        <w:t>（二）将他人注册商标、未注册的驰名商标作为企业名称中的字号使用，误导公众。</w:t>
      </w:r>
    </w:p>
    <w:p w:rsidR="005A3478" w:rsidRDefault="006C077A" w:rsidP="00F77A51">
      <w:pPr>
        <w:pStyle w:val="ab"/>
        <w:ind w:firstLine="640"/>
      </w:pPr>
      <w:r w:rsidRPr="00954A4D">
        <w:rPr>
          <w:rStyle w:val="ac"/>
          <w:rFonts w:hint="eastAsia"/>
        </w:rPr>
        <w:t>第十四条</w:t>
      </w:r>
      <w:r w:rsidR="00954A4D" w:rsidRPr="00954A4D">
        <w:rPr>
          <w:rStyle w:val="ac"/>
          <w:rFonts w:hint="eastAsia"/>
        </w:rPr>
        <w:t xml:space="preserve">　</w:t>
      </w:r>
      <w:r>
        <w:rPr>
          <w:rFonts w:hint="eastAsia"/>
        </w:rPr>
        <w:t>经营者销售带有违反反不正当竞争法第六条规定的标识的商品，引人误认为是他人商品或者与他人存在特定联系，当事人主张构成反不正当竞争法第六条规定的情形的，人民法院应予支持。</w:t>
      </w:r>
    </w:p>
    <w:p w:rsidR="005A3478" w:rsidRDefault="006C077A" w:rsidP="00F77A51">
      <w:pPr>
        <w:pStyle w:val="ab"/>
        <w:ind w:firstLine="640"/>
      </w:pPr>
      <w:r>
        <w:rPr>
          <w:rFonts w:hint="eastAsia"/>
        </w:rPr>
        <w:t>销售不知道是前款规定的侵权商品，能证明该商品是自己合法取得并说明提供者，经营者主张不承担赔偿责任的，人民法院应予支持。</w:t>
      </w:r>
    </w:p>
    <w:p w:rsidR="005A3478" w:rsidRDefault="006C077A" w:rsidP="00F77A51">
      <w:pPr>
        <w:pStyle w:val="ab"/>
        <w:ind w:firstLine="640"/>
      </w:pPr>
      <w:r w:rsidRPr="00954A4D">
        <w:rPr>
          <w:rStyle w:val="ac"/>
          <w:rFonts w:hint="eastAsia"/>
        </w:rPr>
        <w:t>第十五条</w:t>
      </w:r>
      <w:r w:rsidR="00954A4D" w:rsidRPr="00954A4D">
        <w:rPr>
          <w:rStyle w:val="ac"/>
          <w:rFonts w:hint="eastAsia"/>
        </w:rPr>
        <w:t xml:space="preserve">　</w:t>
      </w:r>
      <w:r>
        <w:rPr>
          <w:rFonts w:hint="eastAsia"/>
        </w:rPr>
        <w:t>故意为他人实施混淆行为提供仓储、运输、邮寄、印制、隐匿、经营场所等便利条件，当事人请求依据民法典第一千一百六十九条第一款予以认定的，人民法院应予支持。</w:t>
      </w:r>
    </w:p>
    <w:p w:rsidR="005A3478" w:rsidRDefault="006C077A" w:rsidP="00F77A51">
      <w:pPr>
        <w:pStyle w:val="ab"/>
        <w:ind w:firstLine="640"/>
      </w:pPr>
      <w:r w:rsidRPr="00954A4D">
        <w:rPr>
          <w:rStyle w:val="ac"/>
          <w:rFonts w:hint="eastAsia"/>
        </w:rPr>
        <w:t>第十六条</w:t>
      </w:r>
      <w:r w:rsidR="00954A4D" w:rsidRPr="00954A4D">
        <w:rPr>
          <w:rStyle w:val="ac"/>
          <w:rFonts w:hint="eastAsia"/>
        </w:rPr>
        <w:t xml:space="preserve">　</w:t>
      </w:r>
      <w:r>
        <w:rPr>
          <w:rFonts w:hint="eastAsia"/>
        </w:rPr>
        <w:t>经营者在商业宣传过程中，提供不真实的商品相关信息，欺骗、误导相关公众的，人民法院应当认定为反不正当竞争法第八条第一款规定的虚假的商业宣传。</w:t>
      </w:r>
    </w:p>
    <w:p w:rsidR="005A3478" w:rsidRDefault="006C077A" w:rsidP="00F77A51">
      <w:pPr>
        <w:pStyle w:val="ab"/>
        <w:ind w:firstLine="640"/>
      </w:pPr>
      <w:r w:rsidRPr="00954A4D">
        <w:rPr>
          <w:rStyle w:val="ac"/>
          <w:rFonts w:hint="eastAsia"/>
        </w:rPr>
        <w:t>第十七条</w:t>
      </w:r>
      <w:r w:rsidR="00954A4D" w:rsidRPr="00954A4D">
        <w:rPr>
          <w:rStyle w:val="ac"/>
          <w:rFonts w:hint="eastAsia"/>
        </w:rPr>
        <w:t xml:space="preserve">　</w:t>
      </w:r>
      <w:r>
        <w:rPr>
          <w:rFonts w:hint="eastAsia"/>
        </w:rPr>
        <w:t>经营者具有下列行为之一，欺骗、误导相关公众的，人民法院可以认定为反不正当竞争法第八条第一款规定的</w:t>
      </w:r>
      <w:r>
        <w:rPr>
          <w:rFonts w:hint="eastAsia"/>
        </w:rPr>
        <w:lastRenderedPageBreak/>
        <w:t>“引人误解的商业宣传”：</w:t>
      </w:r>
    </w:p>
    <w:p w:rsidR="005A3478" w:rsidRDefault="006C077A" w:rsidP="00F77A51">
      <w:pPr>
        <w:pStyle w:val="ab"/>
        <w:ind w:firstLine="640"/>
      </w:pPr>
      <w:r>
        <w:rPr>
          <w:rFonts w:hint="eastAsia"/>
        </w:rPr>
        <w:t>（一）对商品作片面的宣传或者对比；</w:t>
      </w:r>
    </w:p>
    <w:p w:rsidR="005A3478" w:rsidRDefault="006C077A" w:rsidP="00F77A51">
      <w:pPr>
        <w:pStyle w:val="ab"/>
        <w:ind w:firstLine="640"/>
      </w:pPr>
      <w:r>
        <w:rPr>
          <w:rFonts w:hint="eastAsia"/>
        </w:rPr>
        <w:t>（二）将科学上未定论的观点、现象等当作定论的事实用于商品宣传；</w:t>
      </w:r>
    </w:p>
    <w:p w:rsidR="005A3478" w:rsidRDefault="006C077A" w:rsidP="00F77A51">
      <w:pPr>
        <w:pStyle w:val="ab"/>
        <w:ind w:firstLine="640"/>
      </w:pPr>
      <w:r>
        <w:rPr>
          <w:rFonts w:hint="eastAsia"/>
        </w:rPr>
        <w:t>（三）使用歧义性语言进行商业宣传；</w:t>
      </w:r>
    </w:p>
    <w:p w:rsidR="005A3478" w:rsidRDefault="006C077A" w:rsidP="00F77A51">
      <w:pPr>
        <w:pStyle w:val="ab"/>
        <w:ind w:firstLine="640"/>
      </w:pPr>
      <w:r>
        <w:rPr>
          <w:rFonts w:hint="eastAsia"/>
        </w:rPr>
        <w:t>（四）其他足以引人误解的商业宣传行为。</w:t>
      </w:r>
    </w:p>
    <w:p w:rsidR="005A3478" w:rsidRDefault="006C077A" w:rsidP="00F77A51">
      <w:pPr>
        <w:pStyle w:val="ab"/>
        <w:ind w:firstLine="640"/>
      </w:pPr>
      <w:r>
        <w:rPr>
          <w:rFonts w:hint="eastAsia"/>
        </w:rPr>
        <w:t>人民法院应当根据日常生活经验、相关公众一般注意力、发生误解的事实和被宣传对象的实际情况等因素，对引人误解的商业宣传行为进行认定。</w:t>
      </w:r>
    </w:p>
    <w:p w:rsidR="005A3478" w:rsidRDefault="006C077A" w:rsidP="00F77A51">
      <w:pPr>
        <w:pStyle w:val="ab"/>
        <w:ind w:firstLine="640"/>
      </w:pPr>
      <w:r w:rsidRPr="00954A4D">
        <w:rPr>
          <w:rStyle w:val="ac"/>
          <w:rFonts w:hint="eastAsia"/>
        </w:rPr>
        <w:t>第十八条</w:t>
      </w:r>
      <w:r w:rsidR="00954A4D" w:rsidRPr="00954A4D">
        <w:rPr>
          <w:rStyle w:val="ac"/>
          <w:rFonts w:hint="eastAsia"/>
        </w:rPr>
        <w:t xml:space="preserve">　</w:t>
      </w:r>
      <w:r>
        <w:rPr>
          <w:rFonts w:hint="eastAsia"/>
        </w:rPr>
        <w:t>当事人主张经营者违反反不正当竞争法第八条第一款的规定并请求赔偿损失的，应当举证证明其因虚假或者引人误解的商业宣传行为受到损失。</w:t>
      </w:r>
    </w:p>
    <w:p w:rsidR="005A3478" w:rsidRDefault="006C077A" w:rsidP="00F77A51">
      <w:pPr>
        <w:pStyle w:val="ab"/>
        <w:ind w:firstLine="640"/>
      </w:pPr>
      <w:r w:rsidRPr="00954A4D">
        <w:rPr>
          <w:rStyle w:val="ac"/>
          <w:rFonts w:hint="eastAsia"/>
        </w:rPr>
        <w:t>第十九条</w:t>
      </w:r>
      <w:r w:rsidR="00954A4D" w:rsidRPr="00954A4D">
        <w:rPr>
          <w:rStyle w:val="ac"/>
          <w:rFonts w:hint="eastAsia"/>
        </w:rPr>
        <w:t xml:space="preserve">　</w:t>
      </w:r>
      <w:r>
        <w:rPr>
          <w:rFonts w:hint="eastAsia"/>
        </w:rPr>
        <w:t>当事人主张经营者实施了反不正当竞争法第十一条规定的商业诋毁行为的，应当举证证明其为该商业诋毁行为的特定损害对象。</w:t>
      </w:r>
    </w:p>
    <w:p w:rsidR="005A3478" w:rsidRDefault="006C077A" w:rsidP="00F77A51">
      <w:pPr>
        <w:pStyle w:val="ab"/>
        <w:ind w:firstLine="640"/>
      </w:pPr>
      <w:r w:rsidRPr="00954A4D">
        <w:rPr>
          <w:rStyle w:val="ac"/>
          <w:rFonts w:hint="eastAsia"/>
        </w:rPr>
        <w:t>第二十条</w:t>
      </w:r>
      <w:r w:rsidR="00954A4D" w:rsidRPr="00954A4D">
        <w:rPr>
          <w:rStyle w:val="ac"/>
          <w:rFonts w:hint="eastAsia"/>
        </w:rPr>
        <w:t xml:space="preserve">　</w:t>
      </w:r>
      <w:r>
        <w:rPr>
          <w:rFonts w:hint="eastAsia"/>
        </w:rPr>
        <w:t>经营者传播他人编造的虚假信息或者误导性信息，损害竞争对手的商业信誉、商品声誉的，人民法院应当依照反不正当竞争法第十一条予以认定。</w:t>
      </w:r>
    </w:p>
    <w:p w:rsidR="005A3478" w:rsidRDefault="006C077A" w:rsidP="00F77A51">
      <w:pPr>
        <w:pStyle w:val="ab"/>
        <w:ind w:firstLine="640"/>
      </w:pPr>
      <w:r w:rsidRPr="00954A4D">
        <w:rPr>
          <w:rStyle w:val="ac"/>
          <w:rFonts w:hint="eastAsia"/>
        </w:rPr>
        <w:t>第二十一条</w:t>
      </w:r>
      <w:r w:rsidR="00954A4D" w:rsidRPr="00954A4D">
        <w:rPr>
          <w:rStyle w:val="ac"/>
          <w:rFonts w:hint="eastAsia"/>
        </w:rPr>
        <w:t xml:space="preserve">　</w:t>
      </w:r>
      <w:r>
        <w:rPr>
          <w:rFonts w:hint="eastAsia"/>
        </w:rPr>
        <w:t>未经其他经营者和用户同意而直接发生的目标跳转，人民法院应当认定为反不正当竞争法第十二条第二款第一项规定的“强制进行目标跳转”。</w:t>
      </w:r>
    </w:p>
    <w:p w:rsidR="005A3478" w:rsidRDefault="006C077A" w:rsidP="00F77A51">
      <w:pPr>
        <w:pStyle w:val="ab"/>
        <w:ind w:firstLine="640"/>
      </w:pPr>
      <w:r>
        <w:rPr>
          <w:rFonts w:hint="eastAsia"/>
        </w:rPr>
        <w:t>仅插入链接，目标跳转由用户触发的，人民法院应当综合考</w:t>
      </w:r>
      <w:r>
        <w:rPr>
          <w:rFonts w:hint="eastAsia"/>
        </w:rPr>
        <w:lastRenderedPageBreak/>
        <w:t>虑插入链接的具体方式、是否具有合理理由以及对用户利益和其他经营者利益的影响等因素，认定该行为是否违反反不正当竞争法第十二条第二款第一项的规定。</w:t>
      </w:r>
    </w:p>
    <w:p w:rsidR="005A3478" w:rsidRDefault="006C077A" w:rsidP="00F77A51">
      <w:pPr>
        <w:pStyle w:val="ab"/>
        <w:ind w:firstLine="640"/>
      </w:pPr>
      <w:r w:rsidRPr="00954A4D">
        <w:rPr>
          <w:rStyle w:val="ac"/>
          <w:rFonts w:hint="eastAsia"/>
        </w:rPr>
        <w:t>第二十二条</w:t>
      </w:r>
      <w:r w:rsidR="00954A4D" w:rsidRPr="00954A4D">
        <w:rPr>
          <w:rStyle w:val="ac"/>
          <w:rFonts w:hint="eastAsia"/>
        </w:rPr>
        <w:t xml:space="preserve">　</w:t>
      </w:r>
      <w:r>
        <w:rPr>
          <w:rFonts w:hint="eastAsia"/>
        </w:rPr>
        <w:t>经营者事前未明确提示并经用户同意，以误导、欺骗、强迫用户修改、关闭、卸载等方式，恶意干扰或者破坏其他经营者合法提供的网络产品或者服务，人民法院应当依照反不正当竞争法第十二条第二款第二项予以认定。</w:t>
      </w:r>
    </w:p>
    <w:p w:rsidR="005A3478" w:rsidRDefault="006C077A" w:rsidP="00F77A51">
      <w:pPr>
        <w:pStyle w:val="ab"/>
        <w:ind w:firstLine="640"/>
      </w:pPr>
      <w:r w:rsidRPr="00954A4D">
        <w:rPr>
          <w:rStyle w:val="ac"/>
          <w:rFonts w:hint="eastAsia"/>
        </w:rPr>
        <w:t>第二十三条</w:t>
      </w:r>
      <w:r w:rsidR="00954A4D" w:rsidRPr="00954A4D">
        <w:rPr>
          <w:rStyle w:val="ac"/>
          <w:rFonts w:hint="eastAsia"/>
        </w:rPr>
        <w:t xml:space="preserve">　</w:t>
      </w:r>
      <w:r>
        <w:rPr>
          <w:rFonts w:hint="eastAsia"/>
        </w:rPr>
        <w:t>对于反不正当竞争法第二条、第八条、第十一条、第十二条规定的不正当竞争行为，权利人因被侵权所受到的实际损失、侵权人因侵权所获得的利益难以确定，当事人主张依据反不正当竞争法第十七条第四款确定赔偿数额的，人民法院应予支持。</w:t>
      </w:r>
    </w:p>
    <w:p w:rsidR="005A3478" w:rsidRDefault="006C077A" w:rsidP="00F77A51">
      <w:pPr>
        <w:pStyle w:val="ab"/>
        <w:ind w:firstLine="640"/>
      </w:pPr>
      <w:r w:rsidRPr="00954A4D">
        <w:rPr>
          <w:rStyle w:val="ac"/>
          <w:rFonts w:hint="eastAsia"/>
        </w:rPr>
        <w:t>第二十四条</w:t>
      </w:r>
      <w:r w:rsidR="00954A4D" w:rsidRPr="00954A4D">
        <w:rPr>
          <w:rStyle w:val="ac"/>
          <w:rFonts w:hint="eastAsia"/>
        </w:rPr>
        <w:t xml:space="preserve">　</w:t>
      </w:r>
      <w:r>
        <w:rPr>
          <w:rFonts w:hint="eastAsia"/>
        </w:rPr>
        <w:t>对于同一侵权人针对同一主体在同一时间和地域范围实施的侵权行为，人民法院已经认定侵害著作权、专利权或者注册商标专用权等并判令承担民事责任，当事人又以该行为构成不正当竞争为由请求同一侵权人承担民事责任的，人民法院不予支持。</w:t>
      </w:r>
    </w:p>
    <w:p w:rsidR="005A3478" w:rsidRDefault="006C077A" w:rsidP="00F77A51">
      <w:pPr>
        <w:pStyle w:val="ab"/>
        <w:ind w:firstLine="640"/>
      </w:pPr>
      <w:r w:rsidRPr="00954A4D">
        <w:rPr>
          <w:rStyle w:val="ac"/>
          <w:rFonts w:hint="eastAsia"/>
        </w:rPr>
        <w:t>第二十五条</w:t>
      </w:r>
      <w:r w:rsidR="00954A4D" w:rsidRPr="00954A4D">
        <w:rPr>
          <w:rStyle w:val="ac"/>
          <w:rFonts w:hint="eastAsia"/>
        </w:rPr>
        <w:t xml:space="preserve">　</w:t>
      </w:r>
      <w:r>
        <w:rPr>
          <w:rFonts w:hint="eastAsia"/>
        </w:rPr>
        <w:t>依据反不正当竞争法第六条的规定，当事人主张判令被告停止使用或者变更其企业名称的诉讼请求依法应予支持的，人民法院应当判令停止使用该企业名称。</w:t>
      </w:r>
    </w:p>
    <w:p w:rsidR="005A3478" w:rsidRDefault="006C077A" w:rsidP="00F77A51">
      <w:pPr>
        <w:pStyle w:val="ab"/>
        <w:ind w:firstLine="640"/>
      </w:pPr>
      <w:r w:rsidRPr="00954A4D">
        <w:rPr>
          <w:rStyle w:val="ac"/>
          <w:rFonts w:hint="eastAsia"/>
        </w:rPr>
        <w:t>第二十六条</w:t>
      </w:r>
      <w:r w:rsidR="00954A4D" w:rsidRPr="00954A4D">
        <w:rPr>
          <w:rStyle w:val="ac"/>
          <w:rFonts w:hint="eastAsia"/>
        </w:rPr>
        <w:t xml:space="preserve">　</w:t>
      </w:r>
      <w:r>
        <w:rPr>
          <w:rFonts w:hint="eastAsia"/>
        </w:rPr>
        <w:t>因不正当竞争行为提起的民事诉讼，由侵权行为地或者被告住所地人民法院管辖。</w:t>
      </w:r>
    </w:p>
    <w:p w:rsidR="005A3478" w:rsidRDefault="006C077A" w:rsidP="00F77A51">
      <w:pPr>
        <w:pStyle w:val="ab"/>
        <w:ind w:firstLine="640"/>
      </w:pPr>
      <w:r>
        <w:rPr>
          <w:rFonts w:hint="eastAsia"/>
        </w:rPr>
        <w:lastRenderedPageBreak/>
        <w:t>当事人主张仅以网络购买者可以任意选择的收货地作为侵权行为地的，人民法院不予支持。</w:t>
      </w:r>
    </w:p>
    <w:p w:rsidR="005A3478" w:rsidRDefault="006C077A" w:rsidP="00F77A51">
      <w:pPr>
        <w:pStyle w:val="ab"/>
        <w:ind w:firstLine="640"/>
      </w:pPr>
      <w:r w:rsidRPr="00954A4D">
        <w:rPr>
          <w:rStyle w:val="ac"/>
          <w:rFonts w:hint="eastAsia"/>
        </w:rPr>
        <w:t>第二十七条</w:t>
      </w:r>
      <w:r w:rsidR="00954A4D" w:rsidRPr="00954A4D">
        <w:rPr>
          <w:rStyle w:val="ac"/>
          <w:rFonts w:hint="eastAsia"/>
        </w:rPr>
        <w:t xml:space="preserve">　</w:t>
      </w:r>
      <w:r>
        <w:rPr>
          <w:rFonts w:hint="eastAsia"/>
        </w:rPr>
        <w:t>被诉不正当竞争行为发生在中华人民共和国领域外，但侵权结果发生在中华人民共和国领域内，当事人主张由该侵权结果发生地人民法院管辖的，人民法院应予支持。</w:t>
      </w:r>
    </w:p>
    <w:p w:rsidR="005A3478" w:rsidRDefault="006C077A" w:rsidP="00F77A51">
      <w:pPr>
        <w:pStyle w:val="ab"/>
        <w:ind w:firstLine="640"/>
      </w:pPr>
      <w:r w:rsidRPr="00954A4D">
        <w:rPr>
          <w:rStyle w:val="ac"/>
          <w:rFonts w:hint="eastAsia"/>
        </w:rPr>
        <w:t>第二十八条</w:t>
      </w:r>
      <w:r w:rsidR="00954A4D" w:rsidRPr="00954A4D">
        <w:rPr>
          <w:rStyle w:val="ac"/>
          <w:rFonts w:hint="eastAsia"/>
        </w:rPr>
        <w:t xml:space="preserve">　</w:t>
      </w:r>
      <w:r>
        <w:rPr>
          <w:rFonts w:hint="eastAsia"/>
        </w:rPr>
        <w:t>反不正当竞争法修改决定施行以后人民法院受理的不正当竞争民事案件，涉及该决定施行前发生的行为的，适用修改前的反不正当竞争法；涉及该决定施行前发生、持续到该决定施行以后的行为的，适用修改后的反不正当竞争法。</w:t>
      </w:r>
    </w:p>
    <w:p w:rsidR="005A3478" w:rsidRDefault="006C077A" w:rsidP="00F77A51">
      <w:pPr>
        <w:pStyle w:val="ab"/>
        <w:ind w:firstLine="640"/>
      </w:pPr>
      <w:r w:rsidRPr="00954A4D">
        <w:rPr>
          <w:rStyle w:val="ac"/>
          <w:rFonts w:hint="eastAsia"/>
        </w:rPr>
        <w:t>第二十九条</w:t>
      </w:r>
      <w:r w:rsidR="00954A4D" w:rsidRPr="00954A4D">
        <w:rPr>
          <w:rStyle w:val="ac"/>
          <w:rFonts w:hint="eastAsia"/>
        </w:rPr>
        <w:t xml:space="preserve">　</w:t>
      </w:r>
      <w:r>
        <w:rPr>
          <w:rFonts w:hint="eastAsia"/>
        </w:rPr>
        <w:t>本解释自2022年3月20日起施行。《最高人民法院关于审理不正当竞争民事案件应用法律若干问题的解释》（法释〔2007〕2号）同时废止。</w:t>
      </w:r>
    </w:p>
    <w:p w:rsidR="005A3478" w:rsidRPr="00954A4D" w:rsidRDefault="006C077A" w:rsidP="00A45C99">
      <w:pPr>
        <w:pStyle w:val="ab"/>
        <w:ind w:firstLine="640"/>
      </w:pPr>
      <w:r>
        <w:rPr>
          <w:rFonts w:hint="eastAsia"/>
        </w:rPr>
        <w:t>本解释施行以后尚未终审的案件，适用本解释；施行以前已经终审的案件，不适用本解释再审。</w:t>
      </w:r>
      <w:bookmarkStart w:id="0" w:name="_GoBack"/>
      <w:bookmarkEnd w:id="0"/>
    </w:p>
    <w:sectPr w:rsidR="005A3478" w:rsidRPr="00954A4D" w:rsidSect="00527430">
      <w:footerReference w:type="even" r:id="rId9"/>
      <w:footerReference w:type="default" r:id="rId10"/>
      <w:pgSz w:w="11906" w:h="16838" w:code="9"/>
      <w:pgMar w:top="2098" w:right="1474" w:bottom="1985" w:left="158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30E" w:rsidRDefault="00A2430E">
      <w:r>
        <w:separator/>
      </w:r>
    </w:p>
  </w:endnote>
  <w:endnote w:type="continuationSeparator" w:id="0">
    <w:p w:rsidR="00A2430E" w:rsidRDefault="00A24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597" w:rsidRDefault="00A45C99" w:rsidP="00A45C99">
    <w:pPr>
      <w:pStyle w:val="ae"/>
      <w:ind w:right="-378"/>
    </w:pPr>
    <w:r>
      <w:fldChar w:fldCharType="begin"/>
    </w:r>
    <w:r>
      <w:instrText xml:space="preserve"> PAGE  \* ArabicDash  \* MERGEFORMAT </w:instrText>
    </w:r>
    <w:r>
      <w:fldChar w:fldCharType="separate"/>
    </w:r>
    <w:r>
      <w:rPr>
        <w:noProof/>
      </w:rPr>
      <w:t>- 8 -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597" w:rsidRDefault="00A45C99" w:rsidP="00A45C99">
    <w:pPr>
      <w:pStyle w:val="ad"/>
      <w:ind w:left="-378"/>
    </w:pPr>
    <w:r>
      <w:fldChar w:fldCharType="begin"/>
    </w:r>
    <w:r>
      <w:instrText xml:space="preserve"> PAGE  \* ArabicDash  \* MERGEFORMAT </w:instrText>
    </w:r>
    <w:r>
      <w:fldChar w:fldCharType="separate"/>
    </w:r>
    <w:r>
      <w:rPr>
        <w:noProof/>
      </w:rPr>
      <w:t>- 7 -</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30E" w:rsidRDefault="00A2430E">
      <w:r>
        <w:separator/>
      </w:r>
    </w:p>
  </w:footnote>
  <w:footnote w:type="continuationSeparator" w:id="0">
    <w:p w:rsidR="00A2430E" w:rsidRDefault="00A243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5322A78"/>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587616D8"/>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3F56337E"/>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671E5132"/>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E454FA0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5992B0E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5694D12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AF00430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5DBC70AE"/>
    <w:lvl w:ilvl="0">
      <w:start w:val="1"/>
      <w:numFmt w:val="decimal"/>
      <w:lvlText w:val="%1."/>
      <w:lvlJc w:val="left"/>
      <w:pPr>
        <w:tabs>
          <w:tab w:val="num" w:pos="360"/>
        </w:tabs>
        <w:ind w:left="360" w:hangingChars="200" w:hanging="360"/>
      </w:pPr>
    </w:lvl>
  </w:abstractNum>
  <w:abstractNum w:abstractNumId="9">
    <w:nsid w:val="FFFFFF89"/>
    <w:multiLevelType w:val="singleLevel"/>
    <w:tmpl w:val="D47C1396"/>
    <w:lvl w:ilvl="0">
      <w:start w:val="1"/>
      <w:numFmt w:val="bullet"/>
      <w:lvlText w:val=""/>
      <w:lvlJc w:val="left"/>
      <w:pPr>
        <w:tabs>
          <w:tab w:val="num" w:pos="360"/>
        </w:tabs>
        <w:ind w:left="360" w:hangingChars="20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evenAndOddHeaders/>
  <w:drawingGridHorizontalSpacing w:val="181"/>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GYyNWIxNjUxNTg5MTAyMmRhODhlNjJlOTYyMGM1MWUifQ=="/>
  </w:docVars>
  <w:rsids>
    <w:rsidRoot w:val="002D6C55"/>
    <w:rsid w:val="000051BA"/>
    <w:rsid w:val="00007DC9"/>
    <w:rsid w:val="00022FF2"/>
    <w:rsid w:val="000246CF"/>
    <w:rsid w:val="00026B55"/>
    <w:rsid w:val="000300E0"/>
    <w:rsid w:val="0004157A"/>
    <w:rsid w:val="00041639"/>
    <w:rsid w:val="00046FD0"/>
    <w:rsid w:val="00060A39"/>
    <w:rsid w:val="00060B3A"/>
    <w:rsid w:val="000658AA"/>
    <w:rsid w:val="00070A8B"/>
    <w:rsid w:val="000720A0"/>
    <w:rsid w:val="00072E51"/>
    <w:rsid w:val="000831A5"/>
    <w:rsid w:val="00092662"/>
    <w:rsid w:val="00093500"/>
    <w:rsid w:val="00094871"/>
    <w:rsid w:val="000A67EC"/>
    <w:rsid w:val="000B1F15"/>
    <w:rsid w:val="000B47FF"/>
    <w:rsid w:val="000C4793"/>
    <w:rsid w:val="000D7352"/>
    <w:rsid w:val="000E4EE9"/>
    <w:rsid w:val="000E5187"/>
    <w:rsid w:val="000E56CF"/>
    <w:rsid w:val="000E6D88"/>
    <w:rsid w:val="000F150B"/>
    <w:rsid w:val="000F2196"/>
    <w:rsid w:val="000F2D91"/>
    <w:rsid w:val="000F5EBA"/>
    <w:rsid w:val="00105524"/>
    <w:rsid w:val="00105EA6"/>
    <w:rsid w:val="001066EE"/>
    <w:rsid w:val="00106D59"/>
    <w:rsid w:val="001211C7"/>
    <w:rsid w:val="001252FD"/>
    <w:rsid w:val="00125415"/>
    <w:rsid w:val="00133F36"/>
    <w:rsid w:val="00141FB6"/>
    <w:rsid w:val="00156266"/>
    <w:rsid w:val="00157CB0"/>
    <w:rsid w:val="001614DD"/>
    <w:rsid w:val="001617A2"/>
    <w:rsid w:val="00162880"/>
    <w:rsid w:val="0016489F"/>
    <w:rsid w:val="0016665A"/>
    <w:rsid w:val="00170A71"/>
    <w:rsid w:val="001A7520"/>
    <w:rsid w:val="001B131A"/>
    <w:rsid w:val="001B153F"/>
    <w:rsid w:val="001B6523"/>
    <w:rsid w:val="001D4E14"/>
    <w:rsid w:val="001D5662"/>
    <w:rsid w:val="001E1AB1"/>
    <w:rsid w:val="002064F7"/>
    <w:rsid w:val="00206B2B"/>
    <w:rsid w:val="00215837"/>
    <w:rsid w:val="0021638E"/>
    <w:rsid w:val="002216B9"/>
    <w:rsid w:val="0023259F"/>
    <w:rsid w:val="00233F94"/>
    <w:rsid w:val="00235183"/>
    <w:rsid w:val="00241E35"/>
    <w:rsid w:val="002428F9"/>
    <w:rsid w:val="00243F11"/>
    <w:rsid w:val="00245BB3"/>
    <w:rsid w:val="00253813"/>
    <w:rsid w:val="00254E9D"/>
    <w:rsid w:val="0025742F"/>
    <w:rsid w:val="002671B1"/>
    <w:rsid w:val="00271C80"/>
    <w:rsid w:val="00277543"/>
    <w:rsid w:val="00281EEF"/>
    <w:rsid w:val="0028710F"/>
    <w:rsid w:val="002A0E27"/>
    <w:rsid w:val="002A0E47"/>
    <w:rsid w:val="002A1765"/>
    <w:rsid w:val="002A1BB0"/>
    <w:rsid w:val="002A7E25"/>
    <w:rsid w:val="002B5E8C"/>
    <w:rsid w:val="002C11D2"/>
    <w:rsid w:val="002D6C55"/>
    <w:rsid w:val="002E52C2"/>
    <w:rsid w:val="002E71C4"/>
    <w:rsid w:val="0030431D"/>
    <w:rsid w:val="00311EB0"/>
    <w:rsid w:val="00313AEE"/>
    <w:rsid w:val="0031621E"/>
    <w:rsid w:val="00327650"/>
    <w:rsid w:val="00334544"/>
    <w:rsid w:val="003370AB"/>
    <w:rsid w:val="00337E4D"/>
    <w:rsid w:val="003407E4"/>
    <w:rsid w:val="00340D0A"/>
    <w:rsid w:val="00342C41"/>
    <w:rsid w:val="00344576"/>
    <w:rsid w:val="00356973"/>
    <w:rsid w:val="00356AAC"/>
    <w:rsid w:val="00357579"/>
    <w:rsid w:val="00357968"/>
    <w:rsid w:val="0036275A"/>
    <w:rsid w:val="00374592"/>
    <w:rsid w:val="00384827"/>
    <w:rsid w:val="003854B1"/>
    <w:rsid w:val="003871CA"/>
    <w:rsid w:val="003902DE"/>
    <w:rsid w:val="00390825"/>
    <w:rsid w:val="00394561"/>
    <w:rsid w:val="00395336"/>
    <w:rsid w:val="003B50D6"/>
    <w:rsid w:val="003C0536"/>
    <w:rsid w:val="003C5A9B"/>
    <w:rsid w:val="003D7E4C"/>
    <w:rsid w:val="003E737D"/>
    <w:rsid w:val="003F534F"/>
    <w:rsid w:val="003F661F"/>
    <w:rsid w:val="00403942"/>
    <w:rsid w:val="00422EA0"/>
    <w:rsid w:val="00424C9C"/>
    <w:rsid w:val="00431DB2"/>
    <w:rsid w:val="004320DD"/>
    <w:rsid w:val="00432CA7"/>
    <w:rsid w:val="00432CD5"/>
    <w:rsid w:val="004358E6"/>
    <w:rsid w:val="00440B14"/>
    <w:rsid w:val="00447D9F"/>
    <w:rsid w:val="00454D12"/>
    <w:rsid w:val="00463561"/>
    <w:rsid w:val="004724D5"/>
    <w:rsid w:val="00473BA4"/>
    <w:rsid w:val="004745A3"/>
    <w:rsid w:val="0048272B"/>
    <w:rsid w:val="00493ABE"/>
    <w:rsid w:val="004A69A0"/>
    <w:rsid w:val="004B0465"/>
    <w:rsid w:val="004B1A57"/>
    <w:rsid w:val="004B2619"/>
    <w:rsid w:val="004B7D8C"/>
    <w:rsid w:val="004C1EAA"/>
    <w:rsid w:val="004C4DF7"/>
    <w:rsid w:val="004C569C"/>
    <w:rsid w:val="004F5158"/>
    <w:rsid w:val="00506C84"/>
    <w:rsid w:val="005142A1"/>
    <w:rsid w:val="00517CAB"/>
    <w:rsid w:val="00527430"/>
    <w:rsid w:val="00536EBF"/>
    <w:rsid w:val="0053713F"/>
    <w:rsid w:val="005433C2"/>
    <w:rsid w:val="005502F2"/>
    <w:rsid w:val="00562083"/>
    <w:rsid w:val="0057423C"/>
    <w:rsid w:val="0058350A"/>
    <w:rsid w:val="00586344"/>
    <w:rsid w:val="00594376"/>
    <w:rsid w:val="00596E1B"/>
    <w:rsid w:val="005A3478"/>
    <w:rsid w:val="005A3B1C"/>
    <w:rsid w:val="005A56F6"/>
    <w:rsid w:val="005A6C12"/>
    <w:rsid w:val="005C1972"/>
    <w:rsid w:val="005D3469"/>
    <w:rsid w:val="005E1766"/>
    <w:rsid w:val="005E2A4A"/>
    <w:rsid w:val="005E48B7"/>
    <w:rsid w:val="005F1B3D"/>
    <w:rsid w:val="00602816"/>
    <w:rsid w:val="00604ACB"/>
    <w:rsid w:val="00606C5B"/>
    <w:rsid w:val="00612F03"/>
    <w:rsid w:val="006171AA"/>
    <w:rsid w:val="00617304"/>
    <w:rsid w:val="006178C3"/>
    <w:rsid w:val="00621BAF"/>
    <w:rsid w:val="0062410E"/>
    <w:rsid w:val="00626CE8"/>
    <w:rsid w:val="00661621"/>
    <w:rsid w:val="00663037"/>
    <w:rsid w:val="006711F4"/>
    <w:rsid w:val="006744EA"/>
    <w:rsid w:val="0068140B"/>
    <w:rsid w:val="00684B33"/>
    <w:rsid w:val="00685825"/>
    <w:rsid w:val="006869CB"/>
    <w:rsid w:val="0069347C"/>
    <w:rsid w:val="006975AB"/>
    <w:rsid w:val="006B086F"/>
    <w:rsid w:val="006C077A"/>
    <w:rsid w:val="006D2483"/>
    <w:rsid w:val="006E1737"/>
    <w:rsid w:val="006E1FF4"/>
    <w:rsid w:val="006E7630"/>
    <w:rsid w:val="006F0A7E"/>
    <w:rsid w:val="006F6FC3"/>
    <w:rsid w:val="006F7D77"/>
    <w:rsid w:val="00715180"/>
    <w:rsid w:val="00720A73"/>
    <w:rsid w:val="00720CAF"/>
    <w:rsid w:val="00724377"/>
    <w:rsid w:val="00725E79"/>
    <w:rsid w:val="007276B4"/>
    <w:rsid w:val="00727EEC"/>
    <w:rsid w:val="00733E0F"/>
    <w:rsid w:val="00745D25"/>
    <w:rsid w:val="007506EE"/>
    <w:rsid w:val="0075447F"/>
    <w:rsid w:val="00754A2D"/>
    <w:rsid w:val="007643CE"/>
    <w:rsid w:val="00766157"/>
    <w:rsid w:val="00767F68"/>
    <w:rsid w:val="0077490A"/>
    <w:rsid w:val="007775EF"/>
    <w:rsid w:val="00787E3C"/>
    <w:rsid w:val="007A2EAB"/>
    <w:rsid w:val="007A51E0"/>
    <w:rsid w:val="007A6544"/>
    <w:rsid w:val="007A7FD3"/>
    <w:rsid w:val="007B2410"/>
    <w:rsid w:val="007C01D1"/>
    <w:rsid w:val="007C5705"/>
    <w:rsid w:val="007D13B8"/>
    <w:rsid w:val="007D77CE"/>
    <w:rsid w:val="00802CDC"/>
    <w:rsid w:val="00805E1D"/>
    <w:rsid w:val="00813FEC"/>
    <w:rsid w:val="00814E29"/>
    <w:rsid w:val="008230BD"/>
    <w:rsid w:val="00823C1E"/>
    <w:rsid w:val="00826135"/>
    <w:rsid w:val="00826D77"/>
    <w:rsid w:val="0083338D"/>
    <w:rsid w:val="00855283"/>
    <w:rsid w:val="008701AB"/>
    <w:rsid w:val="0087139A"/>
    <w:rsid w:val="008760A5"/>
    <w:rsid w:val="00877798"/>
    <w:rsid w:val="008802DB"/>
    <w:rsid w:val="00881967"/>
    <w:rsid w:val="00885F48"/>
    <w:rsid w:val="00890F76"/>
    <w:rsid w:val="0089274E"/>
    <w:rsid w:val="008979B8"/>
    <w:rsid w:val="008A08FA"/>
    <w:rsid w:val="008C0131"/>
    <w:rsid w:val="008E70E5"/>
    <w:rsid w:val="008F50DB"/>
    <w:rsid w:val="008F5238"/>
    <w:rsid w:val="008F6597"/>
    <w:rsid w:val="008F7723"/>
    <w:rsid w:val="00904BC8"/>
    <w:rsid w:val="00911248"/>
    <w:rsid w:val="00913A4E"/>
    <w:rsid w:val="00920305"/>
    <w:rsid w:val="00925F75"/>
    <w:rsid w:val="00954A4D"/>
    <w:rsid w:val="00971108"/>
    <w:rsid w:val="0097410F"/>
    <w:rsid w:val="00974280"/>
    <w:rsid w:val="00974393"/>
    <w:rsid w:val="0097704C"/>
    <w:rsid w:val="009776C9"/>
    <w:rsid w:val="00986E71"/>
    <w:rsid w:val="00992211"/>
    <w:rsid w:val="009942EB"/>
    <w:rsid w:val="009A1862"/>
    <w:rsid w:val="009A78E1"/>
    <w:rsid w:val="009A7FCF"/>
    <w:rsid w:val="009B548C"/>
    <w:rsid w:val="009B7CBC"/>
    <w:rsid w:val="009C4667"/>
    <w:rsid w:val="009D18B6"/>
    <w:rsid w:val="009E6F62"/>
    <w:rsid w:val="009E7F86"/>
    <w:rsid w:val="009F1030"/>
    <w:rsid w:val="009F1B6D"/>
    <w:rsid w:val="00A02039"/>
    <w:rsid w:val="00A04BD7"/>
    <w:rsid w:val="00A06087"/>
    <w:rsid w:val="00A11A36"/>
    <w:rsid w:val="00A20EDD"/>
    <w:rsid w:val="00A212C7"/>
    <w:rsid w:val="00A23406"/>
    <w:rsid w:val="00A2430E"/>
    <w:rsid w:val="00A27EDD"/>
    <w:rsid w:val="00A35940"/>
    <w:rsid w:val="00A35D41"/>
    <w:rsid w:val="00A40953"/>
    <w:rsid w:val="00A450CF"/>
    <w:rsid w:val="00A459E3"/>
    <w:rsid w:val="00A45C99"/>
    <w:rsid w:val="00A571FE"/>
    <w:rsid w:val="00A636AF"/>
    <w:rsid w:val="00A672F5"/>
    <w:rsid w:val="00A773EC"/>
    <w:rsid w:val="00AA03DB"/>
    <w:rsid w:val="00AA164E"/>
    <w:rsid w:val="00AA3B2D"/>
    <w:rsid w:val="00AA7268"/>
    <w:rsid w:val="00AB0D6D"/>
    <w:rsid w:val="00AB68DD"/>
    <w:rsid w:val="00AC2B0B"/>
    <w:rsid w:val="00AC4F2A"/>
    <w:rsid w:val="00AD35D8"/>
    <w:rsid w:val="00AD6BB8"/>
    <w:rsid w:val="00AF6D19"/>
    <w:rsid w:val="00B018B8"/>
    <w:rsid w:val="00B06BB4"/>
    <w:rsid w:val="00B1436F"/>
    <w:rsid w:val="00B17FDC"/>
    <w:rsid w:val="00B22148"/>
    <w:rsid w:val="00B25C4D"/>
    <w:rsid w:val="00B32A99"/>
    <w:rsid w:val="00B364E6"/>
    <w:rsid w:val="00B47C30"/>
    <w:rsid w:val="00B47F03"/>
    <w:rsid w:val="00B62010"/>
    <w:rsid w:val="00B6417D"/>
    <w:rsid w:val="00B712AC"/>
    <w:rsid w:val="00B82084"/>
    <w:rsid w:val="00B95E1A"/>
    <w:rsid w:val="00BA14A3"/>
    <w:rsid w:val="00BA18F5"/>
    <w:rsid w:val="00BA197C"/>
    <w:rsid w:val="00BB4808"/>
    <w:rsid w:val="00BC4000"/>
    <w:rsid w:val="00BD62E5"/>
    <w:rsid w:val="00BD715F"/>
    <w:rsid w:val="00BD7A11"/>
    <w:rsid w:val="00BE0134"/>
    <w:rsid w:val="00BE421E"/>
    <w:rsid w:val="00BE428E"/>
    <w:rsid w:val="00BE6A42"/>
    <w:rsid w:val="00BF009A"/>
    <w:rsid w:val="00BF2167"/>
    <w:rsid w:val="00BF4E21"/>
    <w:rsid w:val="00BF6AB5"/>
    <w:rsid w:val="00C03182"/>
    <w:rsid w:val="00C10C97"/>
    <w:rsid w:val="00C14022"/>
    <w:rsid w:val="00C41CE2"/>
    <w:rsid w:val="00C452E4"/>
    <w:rsid w:val="00C53D36"/>
    <w:rsid w:val="00C57E0D"/>
    <w:rsid w:val="00C636EE"/>
    <w:rsid w:val="00C7181C"/>
    <w:rsid w:val="00C73C73"/>
    <w:rsid w:val="00C748B2"/>
    <w:rsid w:val="00C75F27"/>
    <w:rsid w:val="00C76A21"/>
    <w:rsid w:val="00C85BE4"/>
    <w:rsid w:val="00CA3B61"/>
    <w:rsid w:val="00CB05CD"/>
    <w:rsid w:val="00CB268F"/>
    <w:rsid w:val="00CD046D"/>
    <w:rsid w:val="00CD15F8"/>
    <w:rsid w:val="00CD207F"/>
    <w:rsid w:val="00CF0128"/>
    <w:rsid w:val="00CF0812"/>
    <w:rsid w:val="00CF245A"/>
    <w:rsid w:val="00CF41FE"/>
    <w:rsid w:val="00CF4321"/>
    <w:rsid w:val="00CF5E94"/>
    <w:rsid w:val="00CF7BE1"/>
    <w:rsid w:val="00D0443A"/>
    <w:rsid w:val="00D07F94"/>
    <w:rsid w:val="00D16B69"/>
    <w:rsid w:val="00D21DEB"/>
    <w:rsid w:val="00D3514F"/>
    <w:rsid w:val="00D5052C"/>
    <w:rsid w:val="00D6266A"/>
    <w:rsid w:val="00D91F48"/>
    <w:rsid w:val="00D937CE"/>
    <w:rsid w:val="00D97443"/>
    <w:rsid w:val="00DB1764"/>
    <w:rsid w:val="00DB2440"/>
    <w:rsid w:val="00DB3C8A"/>
    <w:rsid w:val="00DB5F18"/>
    <w:rsid w:val="00DC5F89"/>
    <w:rsid w:val="00DD0C51"/>
    <w:rsid w:val="00DD7AE6"/>
    <w:rsid w:val="00DE69D1"/>
    <w:rsid w:val="00E06E17"/>
    <w:rsid w:val="00E11578"/>
    <w:rsid w:val="00E2376E"/>
    <w:rsid w:val="00E25C09"/>
    <w:rsid w:val="00E33AF2"/>
    <w:rsid w:val="00E35402"/>
    <w:rsid w:val="00E379EC"/>
    <w:rsid w:val="00E42D97"/>
    <w:rsid w:val="00E42DA2"/>
    <w:rsid w:val="00E47E0D"/>
    <w:rsid w:val="00E526C3"/>
    <w:rsid w:val="00E56A87"/>
    <w:rsid w:val="00E56E52"/>
    <w:rsid w:val="00E854B0"/>
    <w:rsid w:val="00E9403C"/>
    <w:rsid w:val="00E956E5"/>
    <w:rsid w:val="00E95DF8"/>
    <w:rsid w:val="00E96E71"/>
    <w:rsid w:val="00E97496"/>
    <w:rsid w:val="00EB642C"/>
    <w:rsid w:val="00EB67B5"/>
    <w:rsid w:val="00EB6A82"/>
    <w:rsid w:val="00EB79DB"/>
    <w:rsid w:val="00EE1F86"/>
    <w:rsid w:val="00EE4190"/>
    <w:rsid w:val="00F01156"/>
    <w:rsid w:val="00F11389"/>
    <w:rsid w:val="00F11CAA"/>
    <w:rsid w:val="00F14865"/>
    <w:rsid w:val="00F3114F"/>
    <w:rsid w:val="00F3147A"/>
    <w:rsid w:val="00F31FF1"/>
    <w:rsid w:val="00F347B6"/>
    <w:rsid w:val="00F37571"/>
    <w:rsid w:val="00F44A15"/>
    <w:rsid w:val="00F46B3C"/>
    <w:rsid w:val="00F4779A"/>
    <w:rsid w:val="00F55847"/>
    <w:rsid w:val="00F55E2F"/>
    <w:rsid w:val="00F64A2C"/>
    <w:rsid w:val="00F64D94"/>
    <w:rsid w:val="00F70562"/>
    <w:rsid w:val="00F744B5"/>
    <w:rsid w:val="00F74986"/>
    <w:rsid w:val="00F77A51"/>
    <w:rsid w:val="00F845F5"/>
    <w:rsid w:val="00F84788"/>
    <w:rsid w:val="00F865EA"/>
    <w:rsid w:val="00F90AF4"/>
    <w:rsid w:val="00F911F3"/>
    <w:rsid w:val="00F92C7B"/>
    <w:rsid w:val="00FA21BD"/>
    <w:rsid w:val="00FB3DE0"/>
    <w:rsid w:val="00FB46C7"/>
    <w:rsid w:val="00FC2B5F"/>
    <w:rsid w:val="00FD0009"/>
    <w:rsid w:val="00FD51B5"/>
    <w:rsid w:val="00FF402A"/>
    <w:rsid w:val="00FF690A"/>
    <w:rsid w:val="79033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Strong" w:qFormat="1"/>
    <w:lsdException w:name="Emphasis" w:qFormat="1"/>
    <w:lsdException w:name="Plain Text" w:uiPriority="99"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qFormat/>
    <w:rPr>
      <w:rFonts w:ascii="宋体" w:hAnsi="Courier New" w:cs="Courier New"/>
      <w:szCs w:val="21"/>
    </w:rPr>
  </w:style>
  <w:style w:type="paragraph" w:styleId="a4">
    <w:name w:val="Balloon Text"/>
    <w:basedOn w:val="a"/>
    <w:link w:val="Char0"/>
    <w:rPr>
      <w:sz w:val="18"/>
      <w:szCs w:val="18"/>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link w:val="Char1"/>
    <w:qFormat/>
    <w:rsid w:val="008F6597"/>
    <w:pPr>
      <w:tabs>
        <w:tab w:val="center" w:pos="4153"/>
        <w:tab w:val="right" w:pos="8306"/>
      </w:tabs>
      <w:snapToGrid w:val="0"/>
      <w:jc w:val="center"/>
    </w:pPr>
    <w:rPr>
      <w:sz w:val="18"/>
      <w:szCs w:val="18"/>
    </w:rPr>
  </w:style>
  <w:style w:type="character" w:styleId="a7">
    <w:name w:val="page number"/>
    <w:basedOn w:val="a0"/>
    <w:qFormat/>
  </w:style>
  <w:style w:type="paragraph" w:customStyle="1" w:styleId="ParaCharCharCharCharCharCharChar">
    <w:name w:val="默认段落字体 Para Char Char Char Char Char Char Char"/>
    <w:basedOn w:val="a"/>
    <w:qFormat/>
  </w:style>
  <w:style w:type="character" w:customStyle="1" w:styleId="Char1">
    <w:name w:val="页眉 Char"/>
    <w:basedOn w:val="a0"/>
    <w:link w:val="a6"/>
    <w:qFormat/>
    <w:rsid w:val="008F6597"/>
    <w:rPr>
      <w:kern w:val="2"/>
      <w:sz w:val="18"/>
      <w:szCs w:val="18"/>
    </w:rPr>
  </w:style>
  <w:style w:type="character" w:customStyle="1" w:styleId="Char0">
    <w:name w:val="批注框文本 Char"/>
    <w:basedOn w:val="a0"/>
    <w:link w:val="a4"/>
    <w:rPr>
      <w:kern w:val="2"/>
      <w:sz w:val="18"/>
      <w:szCs w:val="18"/>
    </w:rPr>
  </w:style>
  <w:style w:type="character" w:customStyle="1" w:styleId="Char">
    <w:name w:val="纯文本 Char"/>
    <w:basedOn w:val="a0"/>
    <w:link w:val="a3"/>
    <w:uiPriority w:val="99"/>
    <w:qFormat/>
    <w:rPr>
      <w:rFonts w:ascii="宋体" w:hAnsi="Courier New" w:cs="Courier New"/>
      <w:kern w:val="2"/>
      <w:sz w:val="21"/>
      <w:szCs w:val="21"/>
    </w:rPr>
  </w:style>
  <w:style w:type="paragraph" w:customStyle="1" w:styleId="a8">
    <w:name w:val="法 标题"/>
    <w:qFormat/>
    <w:rsid w:val="009776C9"/>
    <w:pPr>
      <w:widowControl w:val="0"/>
      <w:spacing w:line="560" w:lineRule="exact"/>
      <w:jc w:val="center"/>
    </w:pPr>
    <w:rPr>
      <w:rFonts w:ascii="仿宋_GB2312" w:hAnsi="仿宋_GB2312" w:cs="仿宋_GB2312"/>
      <w:kern w:val="2"/>
      <w:sz w:val="44"/>
      <w:szCs w:val="32"/>
    </w:rPr>
  </w:style>
  <w:style w:type="paragraph" w:customStyle="1" w:styleId="a9">
    <w:name w:val="法 法释"/>
    <w:qFormat/>
    <w:rsid w:val="009776C9"/>
    <w:pPr>
      <w:widowControl w:val="0"/>
      <w:spacing w:line="560" w:lineRule="exact"/>
      <w:jc w:val="center"/>
    </w:pPr>
    <w:rPr>
      <w:rFonts w:ascii="楷体_GB2312" w:eastAsia="楷体_GB2312" w:hAnsi="宋体" w:cs="宋体"/>
      <w:kern w:val="2"/>
      <w:sz w:val="32"/>
      <w:szCs w:val="30"/>
    </w:rPr>
  </w:style>
  <w:style w:type="paragraph" w:customStyle="1" w:styleId="aa">
    <w:name w:val="法 法释后"/>
    <w:qFormat/>
    <w:rsid w:val="009776C9"/>
    <w:pPr>
      <w:widowControl w:val="0"/>
      <w:spacing w:line="560" w:lineRule="exact"/>
      <w:ind w:leftChars="300" w:left="300" w:rightChars="300" w:right="300"/>
      <w:jc w:val="both"/>
    </w:pPr>
    <w:rPr>
      <w:rFonts w:ascii="楷体_GB2312" w:eastAsia="楷体_GB2312" w:hAnsi="楷体" w:cs="宋体"/>
      <w:kern w:val="2"/>
      <w:sz w:val="32"/>
      <w:szCs w:val="30"/>
    </w:rPr>
  </w:style>
  <w:style w:type="paragraph" w:customStyle="1" w:styleId="ab">
    <w:name w:val="法 正文"/>
    <w:qFormat/>
    <w:rsid w:val="009776C9"/>
    <w:pPr>
      <w:widowControl w:val="0"/>
      <w:spacing w:line="560" w:lineRule="exact"/>
      <w:ind w:firstLineChars="200" w:firstLine="200"/>
      <w:jc w:val="both"/>
    </w:pPr>
    <w:rPr>
      <w:rFonts w:ascii="仿宋_GB2312" w:eastAsia="仿宋_GB2312" w:hAnsi="宋体" w:cs="宋体"/>
      <w:kern w:val="2"/>
      <w:sz w:val="32"/>
      <w:szCs w:val="30"/>
    </w:rPr>
  </w:style>
  <w:style w:type="character" w:customStyle="1" w:styleId="ac">
    <w:name w:val="黑体　三号"/>
    <w:basedOn w:val="a0"/>
    <w:uiPriority w:val="1"/>
    <w:qFormat/>
    <w:rsid w:val="009776C9"/>
    <w:rPr>
      <w:rFonts w:eastAsia="黑体"/>
      <w:sz w:val="32"/>
    </w:rPr>
  </w:style>
  <w:style w:type="paragraph" w:customStyle="1" w:styleId="ad">
    <w:name w:val="法 页码 奇"/>
    <w:qFormat/>
    <w:rsid w:val="00A45C99"/>
    <w:pPr>
      <w:widowControl w:val="0"/>
      <w:spacing w:line="560" w:lineRule="exact"/>
      <w:ind w:leftChars="-180" w:left="-180"/>
    </w:pPr>
    <w:rPr>
      <w:rFonts w:ascii="宋体"/>
      <w:kern w:val="2"/>
      <w:sz w:val="28"/>
      <w:szCs w:val="18"/>
    </w:rPr>
  </w:style>
  <w:style w:type="paragraph" w:customStyle="1" w:styleId="ae">
    <w:name w:val="法 页码 偶"/>
    <w:qFormat/>
    <w:rsid w:val="00A45C99"/>
    <w:pPr>
      <w:widowControl w:val="0"/>
      <w:spacing w:line="560" w:lineRule="exact"/>
      <w:ind w:rightChars="-180" w:right="-180"/>
      <w:jc w:val="right"/>
    </w:pPr>
    <w:rPr>
      <w:rFonts w:ascii="宋体"/>
      <w:kern w:val="2"/>
      <w:sz w:val="2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ADF4E-5867-426E-8A51-8015CA266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556</Words>
  <Characters>3173</Characters>
  <Application>Microsoft Office Word</Application>
  <DocSecurity>0</DocSecurity>
  <Lines>26</Lines>
  <Paragraphs>7</Paragraphs>
  <ScaleCrop>false</ScaleCrop>
  <Company>Lenovo (Beijing) Limited</Company>
  <LinksUpToDate>false</LinksUpToDate>
  <CharactersWithSpaces>3722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dc:creator>Lenovo User</dc:creator>
  <cp:lastModifiedBy>Ren</cp:lastModifiedBy>
  <cp:revision>22</cp:revision>
  <cp:lastPrinted>2014-04-03T09:04:00Z</cp:lastPrinted>
  <dcterms:created xsi:type="dcterms:W3CDTF">2022-03-16T07:10:00Z</dcterms:created>
  <dcterms:modified xsi:type="dcterms:W3CDTF">2022-07-05T02:55:00Z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F40A707AFD6E4B9E9ADFAA0075244C29</vt:lpwstr>
  </property>
</Properties>
</file>