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B9D59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适用《中华人民共和国民法典》婚姻家庭编的解释（二）"/>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关于适用《中华人民共和国民法典》</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婚姻家庭编的解释（二）</w:t>
      </w:r>
    </w:p>
    <w:p w14:paraId="022A0CBC">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法释〔2025〕1号</w:t>
      </w:r>
    </w:p>
    <w:p w14:paraId="0F9ED18C">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为正确审理婚姻家庭纠纷案件，根据《中华人民共和国民法典》《中华人民共和国民事诉讼法》等相关法律规定，结合审判实践，制定本解释。</w:t>
      </w:r>
    </w:p>
    <w:p w14:paraId="29C913AD">
      <w:pPr>
        <w:ind w:firstLine="632" w:firstLineChars="200"/>
        <w:rPr>
          <w:rFonts w:hint="eastAsia" w:ascii="Times New Roman" w:hAnsi="Times New Roman" w:cs="仿宋_GB2312"/>
          <w:sz w:val="32"/>
          <w:szCs w:val="32"/>
        </w:rPr>
      </w:pPr>
      <w:bookmarkStart w:id="2" w:name="第一条"/>
      <w:bookmarkEnd w:id="2"/>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当事人依据民法典第一千零五十一条第一项规定请求确认重婚的婚姻无效，提起诉讼时合法婚姻当事人已经离婚或者配偶已经死亡，被告以此为由抗辩后一婚姻自以上情形发生时转为有效的，人民法院不予支持。</w:t>
      </w:r>
    </w:p>
    <w:p w14:paraId="44CA7784">
      <w:pPr>
        <w:ind w:firstLine="632" w:firstLineChars="200"/>
        <w:rPr>
          <w:rFonts w:hint="eastAsia" w:ascii="Times New Roman" w:hAnsi="Times New Roman" w:cs="仿宋_GB2312"/>
          <w:sz w:val="32"/>
          <w:szCs w:val="32"/>
        </w:rPr>
      </w:pPr>
      <w:bookmarkStart w:id="3" w:name="第二条"/>
      <w:bookmarkEnd w:id="3"/>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夫妻登记离婚后，一方以双方意思表示虚假为由请求确认离婚无效的，人民法院不予支持。</w:t>
      </w:r>
    </w:p>
    <w:p w14:paraId="7A05BFDA">
      <w:pPr>
        <w:ind w:firstLine="632" w:firstLineChars="200"/>
        <w:rPr>
          <w:rFonts w:hint="eastAsia" w:ascii="Times New Roman" w:hAnsi="Times New Roman" w:cs="仿宋_GB2312"/>
          <w:sz w:val="32"/>
          <w:szCs w:val="32"/>
        </w:rPr>
      </w:pPr>
      <w:bookmarkStart w:id="4" w:name="第三条"/>
      <w:bookmarkEnd w:id="4"/>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夫妻一方的债权人有证据证明离婚协议中财产分割条款影响其债权实现，请求参照适用民法典第五百三十八条或者第五百三十九条规定撤销相关条款的，人民法院应当综合考虑夫妻共同财产整体分割及履行情况、子女抚养费负担、离婚过错等因素，依法予以支持。</w:t>
      </w:r>
    </w:p>
    <w:p w14:paraId="4E8591C4">
      <w:pPr>
        <w:ind w:firstLine="632" w:firstLineChars="200"/>
        <w:rPr>
          <w:rFonts w:hint="eastAsia" w:ascii="Times New Roman" w:hAnsi="Times New Roman" w:cs="仿宋_GB2312"/>
          <w:sz w:val="32"/>
          <w:szCs w:val="32"/>
        </w:rPr>
      </w:pPr>
      <w:bookmarkStart w:id="5" w:name="第四条"/>
      <w:bookmarkEnd w:id="5"/>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双方均无配偶的同居关系析产纠纷案件中，对同居期间所得的财产，有约定的，按照约定处理；没有约定且协商不成的，人民法院按照以下情形分别处理：</w:t>
      </w:r>
    </w:p>
    <w:p w14:paraId="6F568AC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（一）各自所得的工资、奖金、劳务报酬、知识产权收益，各自继承或者受赠的财产以及单独生产、经营、投资的收益等，归各自所有；</w:t>
      </w:r>
    </w:p>
    <w:p w14:paraId="376338F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（二）共同出资购置的财产或者共同生产、经营、投资的收益以及其他无法区分的财产，以各自出资比例为基础，综合考虑共同生活情况、有无共同子女、对财产的贡献大小等因素进行分割。</w:t>
      </w:r>
    </w:p>
    <w:p w14:paraId="6E7F7539">
      <w:pPr>
        <w:ind w:firstLine="632" w:firstLineChars="200"/>
        <w:rPr>
          <w:rFonts w:hint="eastAsia" w:ascii="Times New Roman" w:hAnsi="Times New Roman" w:cs="仿宋_GB2312"/>
          <w:sz w:val="32"/>
          <w:szCs w:val="32"/>
        </w:rPr>
      </w:pPr>
      <w:bookmarkStart w:id="6" w:name="第五条"/>
      <w:bookmarkEnd w:id="6"/>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婚前或者婚姻关系存续期间，当事人约定将一方所有的房屋转移登记至另一方或者双方名下，离婚诉讼时房屋所有权尚未转移登记，双方对房屋归属或者分割有争议且协商不成的，人民法院可以根据当事人诉讼请求，结合给予目的，综合考虑婚姻关系存续时间、共同生活及孕育共同子女情况、离婚过错、对家庭的贡献大小以及离婚时房屋市场价格等因素，判决房屋归其中一方所有，并确定是否由获得房屋一方对另一方予以补偿以及补偿的具体数额。</w:t>
      </w:r>
    </w:p>
    <w:p w14:paraId="7AE887B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婚前或者婚姻关系存续期间，一方将其所有的房屋转移登记至另一方或者双方名下，离婚诉讼中，双方对房屋归属或者分割有争议且协商不成的，如果婚姻关系存续时间较短且给予方无重大过错，人民法院可以根据当事人诉讼请求，判决该房屋归给予方所有，并结合给予目的，综合考虑共同生活及孕育共同子女情况、离婚过错、对家庭的贡献大小以及离婚时房屋市场价格等因素，确定是否由获得房屋一方对另一方予以补偿以及补偿的具体数额。</w:t>
      </w:r>
    </w:p>
    <w:p w14:paraId="311F196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给予方有证据证明另一方存在欺诈、胁迫、严重侵害给予方或者其近亲属合法权益、对给予方有扶养义务而不履行等情形，请求撤销前两款规定的民事法律行为的，人民法院依法予以支持。</w:t>
      </w:r>
    </w:p>
    <w:p w14:paraId="4B5CA220">
      <w:pPr>
        <w:ind w:firstLine="632" w:firstLineChars="200"/>
        <w:rPr>
          <w:rFonts w:hint="eastAsia" w:ascii="Times New Roman" w:hAnsi="Times New Roman" w:cs="仿宋_GB2312"/>
          <w:sz w:val="32"/>
          <w:szCs w:val="32"/>
        </w:rPr>
      </w:pPr>
      <w:bookmarkStart w:id="7" w:name="第六条"/>
      <w:bookmarkEnd w:id="7"/>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夫妻一方未经另一方同意，在网络直播平台用夫妻共同财产打赏，数额明显超出其家庭一般消费水平，严重损害夫妻共同财产利益的，可以认定为民法典第一千零六十六条和第一千零九十二条规定的“挥霍”。另一方请求在婚姻关系存续期间分割夫妻共同财产，或者在离婚分割夫妻共同财产时请求对打赏一方少分或者不分的，人民法院应予支持。</w:t>
      </w:r>
    </w:p>
    <w:p w14:paraId="21E848C7">
      <w:pPr>
        <w:ind w:firstLine="632" w:firstLineChars="200"/>
        <w:rPr>
          <w:rFonts w:hint="eastAsia" w:ascii="Times New Roman" w:hAnsi="Times New Roman" w:cs="仿宋_GB2312"/>
          <w:sz w:val="32"/>
          <w:szCs w:val="32"/>
        </w:rPr>
      </w:pPr>
      <w:bookmarkStart w:id="8" w:name="第七条"/>
      <w:bookmarkEnd w:id="8"/>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夫妻一方为重婚、与他人同居以及其他违反夫妻忠实义务等目的，将夫妻共同财产赠与他人或者以明显不合理的价格处分夫妻共同财产，另一方主张该民事法律行为违背公序良俗无效的，人民法院应予支持并依照民法典第一百五十七条规定处理。</w:t>
      </w:r>
    </w:p>
    <w:p w14:paraId="1530F87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夫妻一方存在前款规定情形，另一方以该方存在转移、变卖夫妻共同财产行为，严重损害夫妻共同财产利益为由，依据民法典第一千零六十六条规定请求在婚姻关系存续期间分割夫妻共同财产，或者依据民法典第一千零九十二条规定请求在离婚分割夫妻共同财产时对该方少分或者不分的，人民法院应予支持。</w:t>
      </w:r>
    </w:p>
    <w:p w14:paraId="1AC42606">
      <w:pPr>
        <w:ind w:firstLine="632" w:firstLineChars="200"/>
        <w:rPr>
          <w:rFonts w:hint="eastAsia" w:ascii="Times New Roman" w:hAnsi="Times New Roman" w:cs="仿宋_GB2312"/>
          <w:sz w:val="32"/>
          <w:szCs w:val="32"/>
        </w:rPr>
      </w:pPr>
      <w:bookmarkStart w:id="9" w:name="第八条"/>
      <w:bookmarkEnd w:id="9"/>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婚姻关系存续期间，夫妻购置房屋由一方父母全额出资，如果赠与合同明确约定只赠与自己子女一方的，按照约定处理；没有约定或者约定不明确的，离婚分割夫妻共同财产时，人民法院可以判决该房屋归出资人子女一方所有，并综合考虑共同生活及孕育共同子女情况、离婚过错、对家庭的贡献大小以及离婚时房屋市场价格等因素，确定是否由获得房屋一方对另一方予以补偿以及补偿的具体数额。</w:t>
      </w:r>
    </w:p>
    <w:p w14:paraId="3ADE363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婚姻关系存续期间，夫妻购置房屋由一方父母部分出资或者双方父母出资，如果赠与合同明确约定相应出资只赠与自己子女一方的，按照约定处理；没有约定或者约定不明确的，离婚分割夫妻共同财产时，人民法院可以根据当事人诉讼请求，以出资来源及比例为基础，综合考虑共同生活及孕育共同子女情况、离婚过错、对家庭的贡献大小以及离婚时房屋市场价格等因素，判决房屋归其中一方所有，并由获得房屋一方对另一方予以合理补偿。</w:t>
      </w:r>
    </w:p>
    <w:p w14:paraId="283019DD">
      <w:pPr>
        <w:ind w:firstLine="632" w:firstLineChars="200"/>
        <w:rPr>
          <w:rFonts w:hint="eastAsia" w:ascii="Times New Roman" w:hAnsi="Times New Roman" w:cs="仿宋_GB2312"/>
          <w:sz w:val="32"/>
          <w:szCs w:val="32"/>
        </w:rPr>
      </w:pPr>
      <w:bookmarkStart w:id="10" w:name="第九条"/>
      <w:bookmarkEnd w:id="10"/>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夫妻一方转让用夫妻共同财产出资但登记在自己名下的有限责任公司股权，另一方以未经其同意侵害夫妻共同财产利益为由请求确认股权转让合同无效的，人民法院不予支持，但有证据证明转让人与受让人恶意串通损害另一方合法权益的除外。</w:t>
      </w:r>
    </w:p>
    <w:p w14:paraId="6403EDF6">
      <w:pPr>
        <w:ind w:firstLine="632" w:firstLineChars="200"/>
        <w:rPr>
          <w:rFonts w:hint="eastAsia" w:ascii="Times New Roman" w:hAnsi="Times New Roman" w:cs="仿宋_GB2312"/>
          <w:sz w:val="32"/>
          <w:szCs w:val="32"/>
        </w:rPr>
      </w:pPr>
      <w:bookmarkStart w:id="11" w:name="第十条"/>
      <w:bookmarkEnd w:id="11"/>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夫妻以共同财产投资有限责任公司，并均登记为股东，双方对相应股权的归属没有约定或者约定不明确，离婚时，一方请求按照股东名册或者公司章程记载的各自出资额确定股权分割比例的，人民法院不予支持；对当事人分割夫妻共同财产的请求，人民法院依照民法典第一千零八十七条规定处理。</w:t>
      </w:r>
    </w:p>
    <w:p w14:paraId="6D30611C">
      <w:pPr>
        <w:ind w:firstLine="632" w:firstLineChars="200"/>
        <w:rPr>
          <w:rFonts w:hint="eastAsia" w:ascii="Times New Roman" w:hAnsi="Times New Roman" w:cs="仿宋_GB2312"/>
          <w:sz w:val="32"/>
          <w:szCs w:val="32"/>
        </w:rPr>
      </w:pPr>
      <w:bookmarkStart w:id="12" w:name="第十一条"/>
      <w:bookmarkEnd w:id="12"/>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夫妻一方以另一方可继承的财产为夫妻共同财产、放弃继承侵害夫妻共同财产利益为由主张另一方放弃继承无效的，人民法院不予支持，但有证据证明放弃继承导致放弃一方不能履行法定扶养义务的除外。</w:t>
      </w:r>
    </w:p>
    <w:p w14:paraId="7E29CA0E">
      <w:pPr>
        <w:ind w:firstLine="632" w:firstLineChars="200"/>
        <w:rPr>
          <w:rFonts w:hint="eastAsia" w:ascii="Times New Roman" w:hAnsi="Times New Roman" w:cs="仿宋_GB2312"/>
          <w:sz w:val="32"/>
          <w:szCs w:val="32"/>
        </w:rPr>
      </w:pPr>
      <w:bookmarkStart w:id="13" w:name="第十二条"/>
      <w:bookmarkEnd w:id="13"/>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父母一方或者其近亲属等抢夺、藏匿未成年子女，另一方向人民法院申请人身安全保护令或者参照适用民法典第九百九十七条规定申请人格权侵害禁令的，人民法院依法予以支持。</w:t>
      </w:r>
    </w:p>
    <w:p w14:paraId="46FA837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抢夺、藏匿未成年子女一方以另一方存在赌博、吸毒、家庭暴力等严重侵害未成年子女合法权益情形，主张其抢夺、藏匿行为有合理事由的，人民法院应当告知其依法通过撤销监护人资格、中止探望或者变更抚养关系等途径解决。当事人对其上述主张未提供证据证明且未在合理期限内提出相关请求的，人民法院依照前款规定处理。</w:t>
      </w:r>
    </w:p>
    <w:p w14:paraId="1A79AE67">
      <w:pPr>
        <w:ind w:firstLine="632" w:firstLineChars="200"/>
        <w:rPr>
          <w:rFonts w:hint="eastAsia" w:ascii="Times New Roman" w:hAnsi="Times New Roman" w:cs="仿宋_GB2312"/>
          <w:sz w:val="32"/>
          <w:szCs w:val="32"/>
        </w:rPr>
      </w:pPr>
      <w:bookmarkStart w:id="14" w:name="第十三条"/>
      <w:bookmarkEnd w:id="14"/>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夫妻分居期间，一方或者其近亲属等抢夺、藏匿未成年子女，致使另一方无法履行监护职责，另一方请求行为人承担民事责任的，人民法院可以参照适用民法典第一千零八十四条关于离婚后子女抚养的有关规定，暂时确定未成年子女的抚养事宜，并明确暂时直接抚养未成年子女一方有协助另一方履行监护职责的义务。</w:t>
      </w:r>
    </w:p>
    <w:p w14:paraId="7013CDE6">
      <w:pPr>
        <w:ind w:firstLine="632" w:firstLineChars="200"/>
        <w:rPr>
          <w:rFonts w:hint="eastAsia" w:ascii="Times New Roman" w:hAnsi="Times New Roman" w:cs="仿宋_GB2312"/>
          <w:sz w:val="32"/>
          <w:szCs w:val="32"/>
        </w:rPr>
      </w:pPr>
      <w:bookmarkStart w:id="15" w:name="第十四条"/>
      <w:bookmarkEnd w:id="15"/>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离婚诉讼中，父母均要求直接抚养已满两周岁的未成年子女，一方有下列情形之一的，人民法院应当按照最有利于未成年子女的原则，优先考虑由另一方直接抚养：</w:t>
      </w:r>
    </w:p>
    <w:p w14:paraId="25CF29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（一）实施家庭暴力或者虐待、遗弃家庭成员；</w:t>
      </w:r>
    </w:p>
    <w:p w14:paraId="3A82F48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（二）有赌博、吸毒等恶习；</w:t>
      </w:r>
    </w:p>
    <w:p w14:paraId="2C5081D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（三）重婚、与他人同居或者其他严重违反夫妻忠实义务情形；</w:t>
      </w:r>
    </w:p>
    <w:p w14:paraId="023F2DF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（四）抢夺、藏匿未成年子女且另一方不存在本条第一项或者第二项等严重侵害未成年子女合法权益情形；</w:t>
      </w:r>
    </w:p>
    <w:p w14:paraId="4CC428C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（五）其他不利于未成年子女身心健康的情形。</w:t>
      </w:r>
    </w:p>
    <w:p w14:paraId="2CDB10C0">
      <w:pPr>
        <w:ind w:firstLine="632" w:firstLineChars="200"/>
        <w:rPr>
          <w:rFonts w:hint="eastAsia" w:ascii="Times New Roman" w:hAnsi="Times New Roman" w:cs="仿宋_GB2312"/>
          <w:sz w:val="32"/>
          <w:szCs w:val="32"/>
        </w:rPr>
      </w:pPr>
      <w:bookmarkStart w:id="16" w:name="第十五条"/>
      <w:bookmarkEnd w:id="16"/>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父母双方以法定代理人身份处分用夫妻共同财产购买并登记在未成年子女名下的房屋后，又以违反民法典第三十五条规定损害未成年子女利益为由向相对人主张该民事法律行为无效的，人民法院不予支持。</w:t>
      </w:r>
    </w:p>
    <w:p w14:paraId="1738A655">
      <w:pPr>
        <w:ind w:firstLine="632" w:firstLineChars="200"/>
        <w:rPr>
          <w:rFonts w:hint="eastAsia" w:ascii="Times New Roman" w:hAnsi="Times New Roman" w:cs="仿宋_GB2312"/>
          <w:sz w:val="32"/>
          <w:szCs w:val="32"/>
        </w:rPr>
      </w:pPr>
      <w:bookmarkStart w:id="17" w:name="第十六条"/>
      <w:bookmarkEnd w:id="17"/>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离婚协议中关于一方直接抚养未成年子女或者不能独立生活的成年子女、另一方不负担抚养费的约定，对双方具有法律约束力。但是，离婚后，直接抚养子女一方经济状况发生变化导致原生活水平显著降低或者子女生活、教育、医疗等必要合理费用确有显著增加，未成年子女或者不能独立生活的成年子女请求另一方支付抚养费的，人民法院依法予以支持，并综合考虑离婚协议整体约定、子女实际需要、另一方的负担能力、当地生活水平等因素，确定抚养费的数额。</w:t>
      </w:r>
    </w:p>
    <w:p w14:paraId="0684A1F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前款但书规定情形下，另一方以直接抚养子女一方无抚养能力为由请求变更抚养关系的，人民法院依照民法典第一千零八十四条规定处理。</w:t>
      </w:r>
    </w:p>
    <w:p w14:paraId="70EBE413">
      <w:pPr>
        <w:ind w:firstLine="632" w:firstLineChars="200"/>
        <w:rPr>
          <w:rFonts w:hint="eastAsia" w:ascii="Times New Roman" w:hAnsi="Times New Roman" w:cs="仿宋_GB2312"/>
          <w:sz w:val="32"/>
          <w:szCs w:val="32"/>
        </w:rPr>
      </w:pPr>
      <w:bookmarkStart w:id="18" w:name="第十七条"/>
      <w:bookmarkEnd w:id="18"/>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离婚后，不直接抚养子女一方未按照离婚协议约定或者以其他方式作出的承诺给付抚养费，未成年子女或者不能独立生活的成年子女请求其支付欠付的抚养费的</w:t>
      </w:r>
      <w:bookmarkStart w:id="25" w:name="_GoBack"/>
      <w:bookmarkEnd w:id="25"/>
      <w:r>
        <w:rPr>
          <w:rFonts w:hint="eastAsia" w:ascii="Times New Roman" w:hAnsi="Times New Roman" w:cs="仿宋_GB2312"/>
          <w:sz w:val="32"/>
          <w:szCs w:val="32"/>
        </w:rPr>
        <w:t>，人民法院应予支持。</w:t>
      </w:r>
    </w:p>
    <w:p w14:paraId="59BF290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前款规定情形下，如果子女已经成年并能够独立生活，直接抚养子女一方请求另一方支付欠付的费用的，人民法院依法予以支持。</w:t>
      </w:r>
    </w:p>
    <w:p w14:paraId="1C08A0AC">
      <w:pPr>
        <w:ind w:firstLine="632" w:firstLineChars="200"/>
        <w:rPr>
          <w:rFonts w:hint="eastAsia" w:ascii="Times New Roman" w:hAnsi="Times New Roman" w:cs="仿宋_GB2312"/>
          <w:sz w:val="32"/>
          <w:szCs w:val="32"/>
        </w:rPr>
      </w:pPr>
      <w:bookmarkStart w:id="19" w:name="第十八条"/>
      <w:bookmarkEnd w:id="19"/>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对民法典第一千零七十二条中继子女受继父或者继母抚养教育的事实，人民法院应当以共同生活时间长短为基础，综合考虑共同生活期间继父母是否实际进行生活照料、是否履行家庭教育职责、是否承担抚养费等因素予以认定。</w:t>
      </w:r>
    </w:p>
    <w:p w14:paraId="4B54F8BA">
      <w:pPr>
        <w:ind w:firstLine="632" w:firstLineChars="200"/>
        <w:rPr>
          <w:rFonts w:hint="eastAsia" w:ascii="Times New Roman" w:hAnsi="Times New Roman" w:cs="仿宋_GB2312"/>
          <w:sz w:val="32"/>
          <w:szCs w:val="32"/>
        </w:rPr>
      </w:pPr>
      <w:bookmarkStart w:id="20" w:name="第十九条"/>
      <w:bookmarkEnd w:id="20"/>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生父与继母或者生母与继父离婚后，当事人主张继父或者继母和曾受其抚养教育的继子女之间的权利义务关系不再适用民法典关于父母子女关系规定的，人民法院应予支持，但继父或者继母与继子女存在依法成立的收养关系或者继子女仍与继父或者继母共同生活的除外。</w:t>
      </w:r>
    </w:p>
    <w:p w14:paraId="09DE844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继父母子女关系解除后，缺乏劳动能力又缺乏生活来源的继父或者继母请求曾受其抚养教育的成年继子女给付生活费的，人民法院可以综合考虑抚养教育情况、成年继子女负担能力等因素，依法予以支持，但是继父或者继母曾存在虐待、遗弃继子女等情况的除外。</w:t>
      </w:r>
    </w:p>
    <w:p w14:paraId="472130D7">
      <w:pPr>
        <w:ind w:firstLine="632" w:firstLineChars="200"/>
        <w:rPr>
          <w:rFonts w:hint="eastAsia" w:ascii="Times New Roman" w:hAnsi="Times New Roman" w:cs="仿宋_GB2312"/>
          <w:sz w:val="32"/>
          <w:szCs w:val="32"/>
        </w:rPr>
      </w:pPr>
      <w:bookmarkStart w:id="21" w:name="第二十条"/>
      <w:bookmarkEnd w:id="21"/>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离婚协议约定将部分或者全部夫妻共同财产给予子女，离婚后，一方在财产权利转移之前请求撤销该约定的，人民法院不予支持，但另一方同意的除外。</w:t>
      </w:r>
    </w:p>
    <w:p w14:paraId="5390FB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一方不履行前款离婚协议约定的义务，另一方请求其承担继续履行或者因无法履行而赔偿损失等民事责任的，人民法院依法予以支持。</w:t>
      </w:r>
    </w:p>
    <w:p w14:paraId="2D3744C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双方在离婚协议中明确约定子女可以就本条第一款中的相关财产直接主张权利，一方不履行离婚协议约定的义务，子女请求参照适用民法典第五百二十二条第二款规定，由该方承担继续履行或者因无法履行而赔偿损失等民事责任的，人民法院依法予以支持。</w:t>
      </w:r>
    </w:p>
    <w:p w14:paraId="7752633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离婚协议约定将部分或者全部夫妻共同财产给予子女，离婚后，一方有证据证明签订离婚协议时存在欺诈、胁迫等情形，请求撤销该约定的，人民法院依法予以支持；当事人同时请求分割该部分夫妻共同财产的，人民法院依照民法典第一千零八十七条规定处理。</w:t>
      </w:r>
    </w:p>
    <w:p w14:paraId="40DF9E7A">
      <w:pPr>
        <w:ind w:firstLine="632" w:firstLineChars="200"/>
        <w:rPr>
          <w:rFonts w:hint="eastAsia" w:ascii="Times New Roman" w:hAnsi="Times New Roman" w:cs="仿宋_GB2312"/>
          <w:sz w:val="32"/>
          <w:szCs w:val="32"/>
        </w:rPr>
      </w:pPr>
      <w:bookmarkStart w:id="22" w:name="第二十一条"/>
      <w:bookmarkEnd w:id="22"/>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离婚诉讼中，夫妻一方有证据证明在婚姻关系存续期间因抚育子女、照料老年人、协助另一方工作等负担较多义务，依据民法典第一千零八十八条规定请求另一方给予补偿的，人民法院可以综合考虑负担相应义务投入的时间、精力和对双方的影响以及给付方负担能力、当地居民人均可支配收入等因素，确定补偿数额。</w:t>
      </w:r>
    </w:p>
    <w:p w14:paraId="4C86FB7E">
      <w:pPr>
        <w:ind w:firstLine="632" w:firstLineChars="200"/>
        <w:rPr>
          <w:rFonts w:hint="eastAsia" w:ascii="Times New Roman" w:hAnsi="Times New Roman" w:cs="仿宋_GB2312"/>
          <w:sz w:val="32"/>
          <w:szCs w:val="32"/>
        </w:rPr>
      </w:pPr>
      <w:bookmarkStart w:id="23" w:name="第二十二条"/>
      <w:bookmarkEnd w:id="23"/>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离婚诉讼中，一方存在年老、残疾、重病等生活困难情形，依据民法典第一千零九十条规定请求有负担能力的另一方给予适当帮助的，人民法院可以根据当事人请求，结合另一方财产状况，依法予以支持。</w:t>
      </w:r>
    </w:p>
    <w:p w14:paraId="73BAE3A7">
      <w:pPr>
        <w:ind w:firstLine="632" w:firstLineChars="200"/>
        <w:rPr>
          <w:rFonts w:hint="eastAsia" w:ascii="Times New Roman" w:hAnsi="Times New Roman" w:cs="仿宋_GB2312"/>
          <w:sz w:val="32"/>
          <w:szCs w:val="32"/>
        </w:rPr>
      </w:pPr>
      <w:bookmarkStart w:id="24" w:name="第二十三条"/>
      <w:bookmarkEnd w:id="24"/>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本解释自2025年2月1日起施行。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77078E6"/>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4218</Words>
  <Characters>4224</Characters>
  <Lines>87</Lines>
  <Paragraphs>24</Paragraphs>
  <TotalTime>71</TotalTime>
  <ScaleCrop>false</ScaleCrop>
  <LinksUpToDate>false</LinksUpToDate>
  <CharactersWithSpaces>4247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2025-03-27T09:46:10Z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5EC04230DC3F40519162E1B1E3A8FC0E_13</vt:lpwstr>
  </property>
  <property fmtid="{D5CDD505-2E9C-101B-9397-08002B2CF9AE}" pid="3" name="KSOProductBuildVer">
    <vt:lpwstr>2052-12.1.0.20305</vt:lpwstr>
  </property>
  <property fmtid="{D5CDD505-2E9C-101B-9397-08002B2CF9AE}" pid="4" name="KSOTemplateDocerSaveRecord">
    <vt:lpwstr>eyJoZGlkIjoiODM0YzQzMGFjMjUzMGYwODMwZjhmZTEzMTA0N2U0NTciLCJ1c2VySWQiOiIyMzkwNjQ1MjcifQ==</vt:lpwstr>
  </property>
</Properties>
</file>