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关于适用刑法时间效力规定若干问题的解释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法释〔1997〕5号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1997年9月25日最高人民法院审判委员会第937次会议通过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1997</w:t>
      </w:r>
      <w:r>
        <w:t>年9月25日最高人民法院公告公布　自1997年10月1日起施行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为正确适用刑法</w:t>
      </w:r>
      <w:r>
        <w:rPr>
          <w:rFonts w:hint="eastAsia"/>
        </w:rPr>
        <w:t>，</w:t>
      </w:r>
      <w:r>
        <w:t>现就人民法院1997年10月1日以后审理的刑事案件</w:t>
      </w:r>
      <w:r>
        <w:rPr>
          <w:rFonts w:hint="eastAsia"/>
        </w:rPr>
        <w:t>，</w:t>
      </w:r>
      <w:r>
        <w:t>具体适用修订前的刑法或者修订后的刑法的有关问题规定如下：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对于行为人1997年9月30日以前实施的犯罪行为</w:t>
      </w:r>
      <w:r>
        <w:rPr>
          <w:rFonts w:hint="eastAsia"/>
        </w:rPr>
        <w:t>，</w:t>
      </w:r>
      <w:r>
        <w:t>在人民检察院、公安机关、国家安全机关立案侦查或者在人民法院受理案件以后</w:t>
      </w:r>
      <w:r>
        <w:rPr>
          <w:rFonts w:hint="eastAsia"/>
        </w:rPr>
        <w:t>，</w:t>
      </w:r>
      <w:r>
        <w:t>行为人逃避侦查或者审判</w:t>
      </w:r>
      <w:r>
        <w:rPr>
          <w:rFonts w:hint="eastAsia"/>
        </w:rPr>
        <w:t>，</w:t>
      </w:r>
      <w:r>
        <w:t>超过追诉期限或者被害人在追诉期限内提出控告</w:t>
      </w:r>
      <w:r>
        <w:rPr>
          <w:rFonts w:hint="eastAsia"/>
        </w:rPr>
        <w:t>，</w:t>
      </w:r>
      <w:r>
        <w:t>人民法院、人民检察院、公安机关应当立案而不予立案</w:t>
      </w:r>
      <w:r>
        <w:rPr>
          <w:rFonts w:hint="eastAsia"/>
        </w:rPr>
        <w:t>，</w:t>
      </w:r>
      <w:r>
        <w:t>超过追诉期限的</w:t>
      </w:r>
      <w:r>
        <w:rPr>
          <w:rFonts w:hint="eastAsia"/>
        </w:rPr>
        <w:t>，</w:t>
      </w:r>
      <w:r>
        <w:t>是否追究行为人的刑事责任</w:t>
      </w:r>
      <w:r>
        <w:rPr>
          <w:rFonts w:hint="eastAsia"/>
        </w:rPr>
        <w:t>，</w:t>
      </w:r>
      <w:r>
        <w:t>适用修订前的刑法第七十七条的规定。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第二条</w:t>
      </w:r>
      <w:r>
        <w:t>　犯罪分子1997年9月30日以前犯罪</w:t>
      </w:r>
      <w:r>
        <w:rPr>
          <w:rFonts w:hint="eastAsia"/>
        </w:rPr>
        <w:t>，</w:t>
      </w:r>
      <w:r>
        <w:t>不具有法定减轻处罚情节</w:t>
      </w:r>
      <w:r>
        <w:rPr>
          <w:rFonts w:hint="eastAsia"/>
        </w:rPr>
        <w:t>，</w:t>
      </w:r>
      <w:r>
        <w:t>但是根据案件的具体情况需要在法定刑以下判处刑罚的</w:t>
      </w:r>
      <w:r>
        <w:rPr>
          <w:rFonts w:hint="eastAsia"/>
        </w:rPr>
        <w:t>，</w:t>
      </w:r>
      <w:r>
        <w:t>适用修订前的刑法第五十九条第二款的规</w:t>
      </w:r>
      <w:r>
        <w:rPr>
          <w:rFonts w:hint="eastAsia"/>
        </w:rPr>
        <w:t>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第三条</w:t>
      </w:r>
      <w:r>
        <w:t>　前罪判处的刑罚已经执行完毕或者赦免</w:t>
      </w:r>
      <w:r>
        <w:rPr>
          <w:rFonts w:hint="eastAsia"/>
        </w:rPr>
        <w:t>，</w:t>
      </w:r>
      <w:r>
        <w:t>在1997年9月30日以前又犯应当判处有期徒刑以上刑罚之罪</w:t>
      </w:r>
      <w:r>
        <w:rPr>
          <w:rFonts w:hint="eastAsia"/>
        </w:rPr>
        <w:t>，</w:t>
      </w:r>
      <w:r>
        <w:t>是否构成累犯</w:t>
      </w:r>
      <w:r>
        <w:rPr>
          <w:rFonts w:hint="eastAsia"/>
        </w:rPr>
        <w:t>，</w:t>
      </w:r>
      <w:r>
        <w:t>适用修订前的刑法第六十一条的规定；1997年10月1日以后又犯应当判处有期徒刑以上刑罚之罪的</w:t>
      </w:r>
      <w:r>
        <w:rPr>
          <w:rFonts w:hint="eastAsia"/>
        </w:rPr>
        <w:t>，</w:t>
      </w:r>
      <w:r>
        <w:t>是否构成累犯</w:t>
      </w:r>
      <w:r>
        <w:rPr>
          <w:rFonts w:hint="eastAsia"/>
        </w:rPr>
        <w:t>，</w:t>
      </w:r>
      <w:r>
        <w:t>适用刑法第六十五条的规定。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第四条</w:t>
      </w:r>
      <w:r>
        <w:t>　1997年9月30日以前被采取强制措施的犯罪嫌疑人、被告人或者1997年9月30日以前犯罪</w:t>
      </w:r>
      <w:r>
        <w:rPr>
          <w:rFonts w:hint="eastAsia"/>
        </w:rPr>
        <w:t>，1997</w:t>
      </w:r>
      <w:r>
        <w:t>年10月1日以后仍在服刑的罪犯</w:t>
      </w:r>
      <w:r>
        <w:rPr>
          <w:rFonts w:hint="eastAsia"/>
        </w:rPr>
        <w:t>，</w:t>
      </w:r>
      <w:r>
        <w:t>如实供述司法机关还未掌握的本人其他罪行的</w:t>
      </w:r>
      <w:r>
        <w:rPr>
          <w:rFonts w:hint="eastAsia"/>
        </w:rPr>
        <w:t>，</w:t>
      </w:r>
      <w:r>
        <w:t>适用刑法第六十七</w:t>
      </w:r>
      <w:r>
        <w:rPr>
          <w:rFonts w:hint="eastAsia"/>
        </w:rPr>
        <w:t>条第二款的规定。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1997年9月30日以前犯罪的犯罪分子</w:t>
      </w:r>
      <w:r>
        <w:rPr>
          <w:rFonts w:hint="eastAsia"/>
        </w:rPr>
        <w:t>，</w:t>
      </w:r>
      <w:r>
        <w:t>有揭发他人犯罪行为</w:t>
      </w:r>
      <w:r>
        <w:rPr>
          <w:rFonts w:hint="eastAsia"/>
        </w:rPr>
        <w:t>，</w:t>
      </w:r>
      <w:r>
        <w:t>或者提供重要线索</w:t>
      </w:r>
      <w:r>
        <w:rPr>
          <w:rFonts w:hint="eastAsia"/>
        </w:rPr>
        <w:t>，</w:t>
      </w:r>
      <w:r>
        <w:t>从而得以侦破其他案件等立功表现的</w:t>
      </w:r>
      <w:r>
        <w:rPr>
          <w:rFonts w:hint="eastAsia"/>
        </w:rPr>
        <w:t>，</w:t>
      </w:r>
      <w:r>
        <w:t>适用刑法第六十八条的规定。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1997年9月30日以前犯罪被宣告缓刑的犯罪分子</w:t>
      </w:r>
      <w:r>
        <w:rPr>
          <w:rFonts w:hint="eastAsia"/>
        </w:rPr>
        <w:t>，</w:t>
      </w:r>
      <w:r>
        <w:t>在1997年10月1日以后的缓刑考验期间又犯新罪、被发现漏罪或者违反法律、行政法规或者国务院公安部门有关缓刑的监督管理规定</w:t>
      </w:r>
      <w:r>
        <w:rPr>
          <w:rFonts w:hint="eastAsia"/>
        </w:rPr>
        <w:t>，</w:t>
      </w:r>
      <w:r>
        <w:t>情节严重的</w:t>
      </w:r>
      <w:r>
        <w:rPr>
          <w:rFonts w:hint="eastAsia"/>
        </w:rPr>
        <w:t>，</w:t>
      </w:r>
      <w:r>
        <w:t>适用刑法第七十七条的规定</w:t>
      </w:r>
      <w:r>
        <w:rPr>
          <w:rFonts w:hint="eastAsia"/>
        </w:rPr>
        <w:t>，</w:t>
      </w:r>
      <w:r>
        <w:t>撤销缓刑。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1997年9月30日以前犯</w:t>
      </w:r>
      <w:r>
        <w:rPr>
          <w:rFonts w:hint="eastAsia"/>
        </w:rPr>
        <w:t>罪，</w:t>
      </w:r>
      <w:r>
        <w:t>1997年10月1日以后仍在服刑的犯罪分子</w:t>
      </w:r>
      <w:r>
        <w:rPr>
          <w:rFonts w:hint="eastAsia"/>
        </w:rPr>
        <w:t>，</w:t>
      </w:r>
      <w:r>
        <w:t>因特殊情况</w:t>
      </w:r>
      <w:r>
        <w:rPr>
          <w:rFonts w:hint="eastAsia"/>
        </w:rPr>
        <w:t>，</w:t>
      </w:r>
      <w:r>
        <w:t>需要不受执行刑期限制假释的</w:t>
      </w:r>
      <w:r>
        <w:rPr>
          <w:rFonts w:hint="eastAsia"/>
        </w:rPr>
        <w:t>，</w:t>
      </w:r>
      <w:r>
        <w:t>适用刑法第八十一条第一款的规定</w:t>
      </w:r>
      <w:r>
        <w:rPr>
          <w:rFonts w:hint="eastAsia"/>
        </w:rPr>
        <w:t>，</w:t>
      </w:r>
      <w:r>
        <w:t>报经最高人民法院核准。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1997年9月30日以前犯罪</w:t>
      </w:r>
      <w:r>
        <w:rPr>
          <w:rFonts w:hint="eastAsia"/>
        </w:rPr>
        <w:t>，1997</w:t>
      </w:r>
      <w:r>
        <w:t>年10月1日以后仍在服刑的累犯以及因杀人、爆炸、抢劫、强奸、绑架等暴力性犯罪被判处十年以上有期徒刑、无期徒刑的犯罪分子</w:t>
      </w:r>
      <w:r>
        <w:rPr>
          <w:rFonts w:hint="eastAsia"/>
        </w:rPr>
        <w:t>，</w:t>
      </w:r>
      <w:r>
        <w:t>适用修订前的刑法第七十三条的规定</w:t>
      </w:r>
      <w:r>
        <w:rPr>
          <w:rFonts w:hint="eastAsia"/>
        </w:rPr>
        <w:t>，</w:t>
      </w:r>
      <w:r>
        <w:t>可以假释。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第九条</w:t>
      </w:r>
      <w:r>
        <w:t>　1997年9月30日以前被假释的犯罪分子</w:t>
      </w:r>
      <w:r>
        <w:rPr>
          <w:rFonts w:hint="eastAsia"/>
        </w:rPr>
        <w:t>，</w:t>
      </w:r>
      <w:r>
        <w:t>在1997年10月1日以后的假释考验期内</w:t>
      </w:r>
      <w:r>
        <w:rPr>
          <w:rFonts w:hint="eastAsia"/>
        </w:rPr>
        <w:t>，</w:t>
      </w:r>
      <w:r>
        <w:t>又犯新罪、</w:t>
      </w:r>
      <w:r>
        <w:rPr>
          <w:rFonts w:hint="eastAsia"/>
        </w:rPr>
        <w:t>被发现漏罪或者违反法律、行政法规或者国务院公安部门有关假释的监督管理规定的，适用刑法第八十六条的规定，撤销假释。</w:t>
      </w:r>
    </w:p>
    <w:p>
      <w:pPr>
        <w:pStyle w:val="12"/>
        <w:rPr>
          <w:rFonts w:hint="eastAsia"/>
        </w:rPr>
      </w:pPr>
      <w:r>
        <w:rPr>
          <w:rStyle w:val="25"/>
        </w:rPr>
        <w:t>第十条</w:t>
      </w:r>
      <w:r>
        <w:t>　按照审判监督程序重新审判的案件</w:t>
      </w:r>
      <w:r>
        <w:rPr>
          <w:rFonts w:hint="eastAsia"/>
        </w:rPr>
        <w:t>，</w:t>
      </w:r>
      <w:r>
        <w:t>适用行为时的法律。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F4958"/>
    <w:rsid w:val="00323D76"/>
    <w:rsid w:val="02380A4E"/>
    <w:rsid w:val="029F4958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6C74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2017-11-01T09:41:00Z</dcterms:created>
  <dc:creator>Administrator</dc:creator>
  <cp:lastModifiedBy>Administrator</cp:lastModifiedBy>
  <dcterms:modified xsi:type="dcterms:W3CDTF">2017-11-01T14:19:05Z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