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关于适用刑法第六十四条有关问题的批复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2013</w:t>
      </w:r>
      <w:r>
        <w:t>年10月21日</w:t>
      </w:r>
      <w:r>
        <w:rPr>
          <w:rFonts w:hint="eastAsia"/>
          <w:lang w:val="en-US" w:eastAsia="zh-CN"/>
        </w:rPr>
        <w:t xml:space="preserve">      </w:t>
      </w:r>
      <w:r>
        <w:t>法〔2013〕229号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河南省高级人民法院：</w:t>
      </w:r>
      <w:bookmarkStart w:id="0" w:name="_GoBack"/>
      <w:bookmarkEnd w:id="0"/>
    </w:p>
    <w:p>
      <w:pPr>
        <w:pStyle w:val="12"/>
        <w:jc w:val="both"/>
        <w:rPr>
          <w:rFonts w:hint="eastAsia"/>
        </w:rPr>
      </w:pPr>
      <w:r>
        <w:t>你院《关于刑法第六十四条法律适用问题的请示》收悉。经研究</w:t>
      </w:r>
      <w:r>
        <w:rPr>
          <w:rFonts w:hint="eastAsia"/>
        </w:rPr>
        <w:t>，</w:t>
      </w:r>
      <w:r>
        <w:t>批复如下：</w:t>
      </w:r>
    </w:p>
    <w:p>
      <w:pPr>
        <w:pStyle w:val="12"/>
        <w:rPr>
          <w:rFonts w:hint="eastAsia"/>
        </w:rPr>
      </w:pPr>
      <w:r>
        <w:t>根据刑法第六十四条和《最高人民法院关于适用〈中华人民共和国刑事诉讼法〉的解释》第一百三十八条、第一百三十九条的规定</w:t>
      </w:r>
      <w:r>
        <w:rPr>
          <w:rFonts w:hint="eastAsia"/>
        </w:rPr>
        <w:t>，</w:t>
      </w:r>
      <w:r>
        <w:t>被告人非法占有、处置被害人财产的</w:t>
      </w:r>
      <w:r>
        <w:rPr>
          <w:rFonts w:hint="eastAsia"/>
        </w:rPr>
        <w:t>，</w:t>
      </w:r>
      <w:r>
        <w:t>应</w:t>
      </w:r>
      <w:r>
        <w:rPr>
          <w:rFonts w:hint="eastAsia"/>
        </w:rPr>
        <w:t>当依法予以追缴或者责令退赔。</w:t>
      </w:r>
      <w:r>
        <w:t>据此</w:t>
      </w:r>
      <w:r>
        <w:rPr>
          <w:rFonts w:hint="eastAsia"/>
        </w:rPr>
        <w:t>，</w:t>
      </w:r>
      <w:r>
        <w:t>追缴或者责令退赔的具体内容</w:t>
      </w:r>
      <w:r>
        <w:rPr>
          <w:rFonts w:hint="eastAsia"/>
        </w:rPr>
        <w:t>，</w:t>
      </w:r>
      <w:r>
        <w:t>应当在判决主文中写明；其中</w:t>
      </w:r>
      <w:r>
        <w:rPr>
          <w:rFonts w:hint="eastAsia"/>
        </w:rPr>
        <w:t>，</w:t>
      </w:r>
      <w:r>
        <w:t>判决前已经发还被害人的财产</w:t>
      </w:r>
      <w:r>
        <w:rPr>
          <w:rFonts w:hint="eastAsia"/>
        </w:rPr>
        <w:t>，</w:t>
      </w:r>
      <w:r>
        <w:t>应当注明。被害人提起附带民事诉讼</w:t>
      </w:r>
      <w:r>
        <w:rPr>
          <w:rFonts w:hint="eastAsia"/>
        </w:rPr>
        <w:t>，</w:t>
      </w:r>
      <w:r>
        <w:t>或者另行提起民事诉讼请求返还被非法占有、处置的财产的</w:t>
      </w:r>
      <w:r>
        <w:rPr>
          <w:rFonts w:hint="eastAsia"/>
        </w:rPr>
        <w:t>，</w:t>
      </w:r>
      <w:r>
        <w:t>人民法院不予受理。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E5920"/>
    <w:rsid w:val="00323D76"/>
    <w:rsid w:val="02380A4E"/>
    <w:rsid w:val="02C54CFB"/>
    <w:rsid w:val="042F174E"/>
    <w:rsid w:val="0751543E"/>
    <w:rsid w:val="07B863C5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B8E5920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2017-11-01T09:56:00Z</dcterms:created>
  <dc:creator>Administrator</dc:creator>
  <cp:lastModifiedBy>Administrator</cp:lastModifiedBy>
  <dcterms:modified xsi:type="dcterms:W3CDTF">2017-11-01T14:19:32Z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