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关于适用财产刑若干问题的规定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法释〔2000〕45号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2000年11月15</w:t>
      </w:r>
      <w:r>
        <w:rPr>
          <w:rFonts w:hint="eastAsia"/>
        </w:rPr>
        <w:t>日最高人民法院审判委员会第</w:t>
      </w:r>
      <w:r>
        <w:t>1139次会议通过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年12月13日最高人民法院公告公布　自2000年12月19日起施行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为正确理解和执行刑法有关财产刑的规定</w:t>
      </w:r>
      <w:r>
        <w:rPr>
          <w:rFonts w:hint="eastAsia"/>
        </w:rPr>
        <w:t>，</w:t>
      </w:r>
      <w:r>
        <w:t>现就适用财产刑的若干问题规定如下：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第一条</w:t>
      </w:r>
      <w:r>
        <w:t>　刑法规定“并处”没收财产或者罚金的犯罪</w:t>
      </w:r>
      <w:r>
        <w:rPr>
          <w:rFonts w:hint="eastAsia"/>
        </w:rPr>
        <w:t>，</w:t>
      </w:r>
      <w:r>
        <w:t>人民法院在对犯罪分子判处主刑的同时</w:t>
      </w:r>
      <w:r>
        <w:rPr>
          <w:rFonts w:hint="eastAsia"/>
        </w:rPr>
        <w:t>，</w:t>
      </w:r>
      <w:r>
        <w:t>必须依法判处相应的财产刑；刑法规定“可以并处”没收财产或者罚金的犯罪</w:t>
      </w:r>
      <w:r>
        <w:rPr>
          <w:rFonts w:hint="eastAsia"/>
        </w:rPr>
        <w:t>，</w:t>
      </w:r>
      <w:r>
        <w:t>人民法院应当根据案件具体情况及犯罪分子的财产状况</w:t>
      </w:r>
      <w:r>
        <w:rPr>
          <w:rFonts w:hint="eastAsia"/>
        </w:rPr>
        <w:t>，</w:t>
      </w:r>
      <w:r>
        <w:t>决定是否适用财产刑。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人民法</w:t>
      </w:r>
      <w:r>
        <w:rPr>
          <w:rFonts w:hint="eastAsia"/>
        </w:rPr>
        <w:t>院应当根据犯罪情节，如违法所得数额、造成损失的大小等，并综合考虑犯罪分子缴纳罚金的能力，依法判处罚金。刑法没有明确规定罚金数额标准的，罚金的最低数额不能少于一千元。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对未成年人犯罪应当从轻或者减轻判处罚金，但罚金的最低数额不能少于五百元。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依法对犯罪分子所犯数罪分别判处罚金的</w:t>
      </w:r>
      <w:r>
        <w:rPr>
          <w:rFonts w:hint="eastAsia"/>
        </w:rPr>
        <w:t>，</w:t>
      </w:r>
      <w:r>
        <w:t>应当实行并罚</w:t>
      </w:r>
      <w:r>
        <w:rPr>
          <w:rFonts w:hint="eastAsia"/>
        </w:rPr>
        <w:t>，</w:t>
      </w:r>
      <w:r>
        <w:t>将所判处的罚金数额相加</w:t>
      </w:r>
      <w:r>
        <w:rPr>
          <w:rFonts w:hint="eastAsia"/>
        </w:rPr>
        <w:t>，</w:t>
      </w:r>
      <w:r>
        <w:t>执行总和数额。</w:t>
      </w:r>
    </w:p>
    <w:p>
      <w:pPr>
        <w:pStyle w:val="12"/>
        <w:jc w:val="both"/>
        <w:rPr>
          <w:rStyle w:val="25"/>
          <w:rFonts w:hint="eastAsia"/>
        </w:rPr>
      </w:pPr>
      <w:r>
        <w:t>一人犯数罪依法同时并处罚金和没收财产的</w:t>
      </w:r>
      <w:r>
        <w:rPr>
          <w:rFonts w:hint="eastAsia"/>
        </w:rPr>
        <w:t>，</w:t>
      </w:r>
      <w:r>
        <w:t>应当合并执行；但并处没收全部财产的</w:t>
      </w:r>
      <w:r>
        <w:rPr>
          <w:rFonts w:hint="eastAsia"/>
        </w:rPr>
        <w:t>，</w:t>
      </w:r>
      <w:r>
        <w:t>只执行没收财产刑。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犯罪情节较轻</w:t>
      </w:r>
      <w:r>
        <w:rPr>
          <w:rFonts w:hint="eastAsia"/>
        </w:rPr>
        <w:t>，适用单处罚金不致再危害社会并具有下列情形之一的，可以依法单处罚金：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偶犯或者初犯；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自首或者有立功表现的；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犯罪时不满十八周岁的；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犯罪预备、中止或者未遂的；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被胁迫参加犯罪的；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全部退赃并有悔罪表现的；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七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其他可以依法单处罚金的情形。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第五条</w:t>
      </w:r>
      <w:r>
        <w:t>　刑法第五十三条规定的“判决指定的期限”应当在判决书中予以确定；“判决指定的期限”应为从判决发生法律效力第二日起最长不超过三个月。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第六条</w:t>
      </w:r>
      <w:r>
        <w:t>　刑法第五十三条规定的“由于遭遇不能</w:t>
      </w:r>
      <w:r>
        <w:rPr>
          <w:rFonts w:hint="eastAsia"/>
        </w:rPr>
        <w:t>抗拒的灾祸缴纳确实有困难的”，主要是指因遭受火灾、水灾、地震等灾祸而丧失财产；罪犯因重病、伤残等而丧失劳动能力，或者需要罪犯抚养的近亲属患有重病，需支付巨额医药费等，确实没有财产可供执行的情形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</w:rPr>
        <w:t>具有刑法第五十三条规定“可以酌情减少或者免除”事由的，由罪犯本人、亲属或者犯罪单位向负责执行的人民法院提出书面申请，并提供相应的证明材料。人民法院审查以后，根据实际情况，裁定减少或者免除应当缴纳的罚金数额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第七条</w:t>
      </w:r>
      <w:r>
        <w:t>　刑法第六十条规定的“没收财产以前犯罪分子所负的正当债务”</w:t>
      </w:r>
      <w:r>
        <w:rPr>
          <w:rFonts w:hint="eastAsia"/>
        </w:rPr>
        <w:t>，</w:t>
      </w:r>
      <w:r>
        <w:t>是指犯罪分子在</w:t>
      </w:r>
      <w:r>
        <w:rPr>
          <w:rFonts w:hint="eastAsia"/>
        </w:rPr>
        <w:t>判决生效前所负他人的合法债务。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第八条</w:t>
      </w:r>
      <w:r>
        <w:t>　罚金刑的数额应当以人民币为计算单位。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第九条</w:t>
      </w:r>
      <w:r>
        <w:t>　人民法院认为依法应当判处被告人财产刑的</w:t>
      </w:r>
      <w:r>
        <w:rPr>
          <w:rFonts w:hint="eastAsia"/>
        </w:rPr>
        <w:t>，</w:t>
      </w:r>
      <w:r>
        <w:t>可以在案件审理过程中</w:t>
      </w:r>
      <w:r>
        <w:rPr>
          <w:rFonts w:hint="eastAsia"/>
        </w:rPr>
        <w:t>，</w:t>
      </w:r>
      <w:r>
        <w:t>决定扣押或者冻结被告人的财产。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第十条</w:t>
      </w:r>
      <w:r>
        <w:t>　财产刑由第一审人民法院执行。</w:t>
      </w:r>
    </w:p>
    <w:p>
      <w:pPr>
        <w:pStyle w:val="12"/>
        <w:jc w:val="both"/>
        <w:rPr>
          <w:rStyle w:val="25"/>
          <w:rFonts w:hint="eastAsia"/>
        </w:rPr>
      </w:pPr>
      <w:r>
        <w:t>犯罪分子的财产在异地的</w:t>
      </w:r>
      <w:r>
        <w:rPr>
          <w:rFonts w:hint="eastAsia"/>
        </w:rPr>
        <w:t>，</w:t>
      </w:r>
      <w:r>
        <w:t>第一审人民法院可以委托财产所在地人民法院代为执行。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第十一条</w:t>
      </w:r>
      <w:r>
        <w:t>　自判决指定的期限届满第二日起</w:t>
      </w:r>
      <w:r>
        <w:rPr>
          <w:rFonts w:hint="eastAsia"/>
        </w:rPr>
        <w:t>，</w:t>
      </w:r>
      <w:r>
        <w:t>人民法院对于没有法定减免事由不缴纳罚金的</w:t>
      </w:r>
      <w:r>
        <w:rPr>
          <w:rFonts w:hint="eastAsia"/>
        </w:rPr>
        <w:t>，</w:t>
      </w:r>
      <w:r>
        <w:t>应当强制其缴纳。</w:t>
      </w:r>
    </w:p>
    <w:p>
      <w:pPr>
        <w:pStyle w:val="12"/>
        <w:rPr>
          <w:rFonts w:hint="eastAsia"/>
        </w:rPr>
      </w:pPr>
      <w:r>
        <w:t>对于隐藏、转</w:t>
      </w:r>
      <w:r>
        <w:rPr>
          <w:rFonts w:hint="eastAsia"/>
        </w:rPr>
        <w:t>移、变卖、损毁已被扣押、冻结财产情节严重的，依照刑法第三百一十四条的规定追究刑事责任。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E1B86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4FFA3757"/>
    <w:rsid w:val="501B3EB2"/>
    <w:rsid w:val="5027117E"/>
    <w:rsid w:val="56C00D65"/>
    <w:rsid w:val="618E1B86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2017-11-01T09:50:00Z</dcterms:created>
  <dc:creator>Administrator</dc:creator>
  <cp:lastModifiedBy>Administrator</cp:lastModifiedBy>
  <dcterms:modified xsi:type="dcterms:W3CDTF">2017-11-01T14:20:13Z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