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最高人民法院行政审判庭</w:t>
      </w:r>
    </w:p>
    <w:p>
      <w:pPr>
        <w:pStyle w:val="7"/>
        <w:rPr>
          <w:rFonts w:hint="eastAsia"/>
        </w:rPr>
      </w:pPr>
      <w:r>
        <w:t>关于乡治安室工作人员执行职务中故意</w:t>
      </w:r>
    </w:p>
    <w:p>
      <w:pPr>
        <w:pStyle w:val="7"/>
        <w:rPr>
          <w:rFonts w:hint="eastAsia"/>
        </w:rPr>
      </w:pPr>
      <w:r>
        <w:t>伤害当事人造成的损害乡人</w:t>
      </w:r>
      <w:r>
        <w:rPr>
          <w:rFonts w:hint="eastAsia"/>
        </w:rPr>
        <w:t>民政府</w:t>
      </w:r>
    </w:p>
    <w:p>
      <w:pPr>
        <w:pStyle w:val="7"/>
        <w:rPr>
          <w:rFonts w:hint="eastAsia"/>
        </w:rPr>
      </w:pPr>
      <w:r>
        <w:rPr>
          <w:rFonts w:hint="eastAsia"/>
        </w:rPr>
        <w:t>应否承担责任问题的电话答复</w:t>
      </w:r>
    </w:p>
    <w:p>
      <w:pPr>
        <w:pStyle w:val="12"/>
        <w:jc w:val="both"/>
        <w:rPr>
          <w:rFonts w:hint="eastAsia" w:ascii="宋体" w:hAnsi="宋体" w:eastAsia="宋体" w:cs="宋体"/>
        </w:rPr>
      </w:pPr>
    </w:p>
    <w:p>
      <w:pPr>
        <w:pStyle w:val="19"/>
      </w:pPr>
      <w:r>
        <w:rPr>
          <w:rFonts w:hint="eastAsia"/>
          <w:lang w:eastAsia="zh-CN"/>
        </w:rPr>
        <w:t>（</w:t>
      </w:r>
      <w:r>
        <w:t>1991年10月10日</w:t>
      </w:r>
      <w:r>
        <w:rPr>
          <w:rFonts w:hint="eastAsia"/>
          <w:lang w:eastAsia="zh-CN"/>
        </w:rPr>
        <w:t>）</w:t>
      </w:r>
    </w:p>
    <w:p>
      <w:pPr>
        <w:pStyle w:val="12"/>
        <w:jc w:val="both"/>
        <w:rPr>
          <w:rFonts w:hint="eastAsia" w:ascii="宋体" w:hAnsi="宋体" w:eastAsia="宋体" w:cs="宋体"/>
        </w:rPr>
      </w:pPr>
    </w:p>
    <w:p>
      <w:pPr>
        <w:pStyle w:val="21"/>
        <w:rPr>
          <w:rFonts w:hint="eastAsia"/>
        </w:rPr>
      </w:pPr>
      <w:r>
        <w:t>四川省高级人民法院：</w:t>
      </w:r>
    </w:p>
    <w:p>
      <w:pPr>
        <w:pStyle w:val="12"/>
        <w:jc w:val="both"/>
      </w:pPr>
      <w:r>
        <w:t>你院川法研〔1991〕45号《关于乡治安室工作人员执行职务中故意伤害当事人造成的损害乡人民政府应否承担赔偿责任的请示》收悉。经研究</w:t>
      </w:r>
      <w:r>
        <w:rPr>
          <w:rFonts w:hint="eastAsia"/>
        </w:rPr>
        <w:t>，</w:t>
      </w:r>
      <w:r>
        <w:t>同意你们的第二种意见。</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四川省高级人民法院</w:t>
      </w:r>
    </w:p>
    <w:p>
      <w:pPr>
        <w:pStyle w:val="7"/>
      </w:pPr>
      <w:r>
        <w:t>关于乡治安室工作人员执行职务中故意伤害</w:t>
      </w:r>
    </w:p>
    <w:p>
      <w:pPr>
        <w:pStyle w:val="7"/>
      </w:pPr>
      <w:r>
        <w:t>当事人造成的损害乡人民政府应否</w:t>
      </w:r>
    </w:p>
    <w:p>
      <w:pPr>
        <w:pStyle w:val="7"/>
        <w:rPr>
          <w:rFonts w:hint="eastAsia"/>
        </w:rPr>
      </w:pPr>
      <w:r>
        <w:t>承担</w:t>
      </w:r>
      <w:r>
        <w:rPr>
          <w:rFonts w:hint="eastAsia"/>
        </w:rPr>
        <w:t>赔偿责任的请示</w:t>
      </w:r>
    </w:p>
    <w:p>
      <w:pPr>
        <w:pStyle w:val="12"/>
        <w:jc w:val="both"/>
        <w:rPr>
          <w:rFonts w:hint="eastAsia" w:ascii="宋体" w:hAnsi="宋体" w:eastAsia="宋体" w:cs="宋体"/>
        </w:rPr>
      </w:pPr>
    </w:p>
    <w:p>
      <w:pPr>
        <w:pStyle w:val="22"/>
        <w:rPr>
          <w:rFonts w:hint="eastAsia"/>
        </w:rPr>
      </w:pPr>
      <w:r>
        <w:rPr>
          <w:rFonts w:hint="eastAsia"/>
        </w:rPr>
        <w:t>1991</w:t>
      </w:r>
      <w:r>
        <w:t>年9月20日</w:t>
      </w:r>
      <w:r>
        <w:rPr>
          <w:rFonts w:hint="eastAsia"/>
          <w:lang w:val="en-US" w:eastAsia="zh-CN"/>
        </w:rPr>
        <w:t xml:space="preserve">      </w:t>
      </w:r>
      <w:r>
        <w:t>川法研〔1991〕45号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我省一些地方乡治安室工作人员在执行治安管理职务中故意伤害当事人的案件时有发生</w:t>
      </w:r>
      <w:r>
        <w:rPr>
          <w:rFonts w:hint="eastAsia"/>
        </w:rPr>
        <w:t>，</w:t>
      </w:r>
      <w:r>
        <w:t>有的被打致残</w:t>
      </w:r>
      <w:r>
        <w:rPr>
          <w:rFonts w:hint="eastAsia"/>
        </w:rPr>
        <w:t>，</w:t>
      </w:r>
      <w:r>
        <w:t>此类损害</w:t>
      </w:r>
      <w:r>
        <w:rPr>
          <w:rFonts w:hint="eastAsia"/>
        </w:rPr>
        <w:t>，</w:t>
      </w:r>
      <w:r>
        <w:t>乡人民政府应否承担赔偿责任的问题</w:t>
      </w:r>
      <w:r>
        <w:rPr>
          <w:rFonts w:hint="eastAsia"/>
        </w:rPr>
        <w:t>，</w:t>
      </w:r>
      <w:r>
        <w:t>有关部门和法院内部认识不够统一</w:t>
      </w:r>
      <w:r>
        <w:rPr>
          <w:rFonts w:hint="eastAsia"/>
        </w:rPr>
        <w:t>，</w:t>
      </w:r>
      <w:r>
        <w:t>我们讨论中</w:t>
      </w:r>
      <w:r>
        <w:rPr>
          <w:rFonts w:hint="eastAsia"/>
        </w:rPr>
        <w:t>，</w:t>
      </w:r>
      <w:r>
        <w:t>提出了三种意见：</w:t>
      </w:r>
    </w:p>
    <w:p>
      <w:pPr>
        <w:pStyle w:val="12"/>
        <w:jc w:val="both"/>
        <w:rPr>
          <w:rFonts w:hint="eastAsia"/>
        </w:rPr>
      </w:pPr>
      <w:r>
        <w:t>第一种意见认为</w:t>
      </w:r>
      <w:r>
        <w:rPr>
          <w:rFonts w:hint="eastAsia"/>
        </w:rPr>
        <w:t>，</w:t>
      </w:r>
      <w:r>
        <w:t>乡治安室受乡政府领导、在公安派出所指导下负责管理辖区内的治安工作</w:t>
      </w:r>
      <w:r>
        <w:rPr>
          <w:rFonts w:hint="eastAsia"/>
        </w:rPr>
        <w:t>，</w:t>
      </w:r>
      <w:r>
        <w:t>其工作人员在执行治安管理职务中违法乱纪打伤当事人</w:t>
      </w:r>
      <w:r>
        <w:rPr>
          <w:rFonts w:hint="eastAsia"/>
        </w:rPr>
        <w:t>，</w:t>
      </w:r>
      <w:r>
        <w:t>不属正当履行职</w:t>
      </w:r>
      <w:r>
        <w:rPr>
          <w:rFonts w:hint="eastAsia"/>
        </w:rPr>
        <w:t>务造成的损害，应由行为人承担赔偿责任，乡政府不承担赔偿责任。</w:t>
      </w:r>
    </w:p>
    <w:p>
      <w:pPr>
        <w:pStyle w:val="12"/>
        <w:jc w:val="both"/>
        <w:rPr>
          <w:rFonts w:hint="eastAsia"/>
        </w:rPr>
      </w:pPr>
      <w:r>
        <w:rPr>
          <w:rFonts w:hint="eastAsia"/>
        </w:rPr>
        <w:t>第二种意见认为，行政诉讼法第六十八条规定：“行政机关或者行政机关工作人员作出的具体行政行为侵犯公民、法人或者其他组织的合法权益造成损害的，由该行政机关或者该行政机关工作人员所在的行政机关负责赔偿。”根据这一规定，乡政府应承担治安室工作人员侵权造成损失的赔偿责任。乡政府赔偿损失后，可视情况责令行为人承担部分或者全部赔偿费用。</w:t>
      </w:r>
    </w:p>
    <w:p>
      <w:pPr>
        <w:pStyle w:val="12"/>
        <w:jc w:val="both"/>
        <w:rPr>
          <w:rFonts w:hint="eastAsia"/>
        </w:rPr>
      </w:pPr>
      <w:r>
        <w:rPr>
          <w:rFonts w:hint="eastAsia"/>
        </w:rPr>
        <w:t>第三种意见认为，治安室工作人员在执行治安管理职务中违法乱纪打伤当事人，不属具体行政行为造成的损害，而属于执行职务中造成的民事侵权损害。民法通则第一百二十一条规定：“国家机关或者国家机关工作人员在执行职务中，侵犯公民、法人的合法权益造成损害的，应承担民事责任。”根据这一规定，乡政府应承担民事赔偿责任。</w:t>
      </w:r>
    </w:p>
    <w:p>
      <w:pPr>
        <w:pStyle w:val="12"/>
        <w:rPr>
          <w:rFonts w:hint="eastAsia"/>
        </w:rPr>
      </w:pPr>
      <w:r>
        <w:rPr>
          <w:rFonts w:hint="eastAsia"/>
        </w:rPr>
        <w:t>我们倾向于第二种意见，当否，请批复。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66242"/>
    <w:rsid w:val="00323D76"/>
    <w:rsid w:val="022714E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166242"/>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2017-11-02T10:31:00Z</dcterms:created>
  <dc:creator>Administrator</dc:creator>
  <cp:lastModifiedBy>Administrator</cp:lastModifiedBy>
  <dcterms:modified xsi:type="dcterms:W3CDTF">2017-11-02T10:53:38Z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