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最高人民法院行政审判庭</w:t>
      </w:r>
    </w:p>
    <w:p>
      <w:pPr>
        <w:pStyle w:val="7"/>
        <w:rPr>
          <w:rFonts w:hint="eastAsia"/>
        </w:rPr>
      </w:pPr>
      <w:r>
        <w:t>关于公安机关未具法定立案搜查手续对公民</w:t>
      </w:r>
    </w:p>
    <w:p>
      <w:pPr>
        <w:pStyle w:val="7"/>
      </w:pPr>
      <w:r>
        <w:t>进行住宅人身搜查被搜查人提起诉讼</w:t>
      </w:r>
    </w:p>
    <w:p>
      <w:pPr>
        <w:pStyle w:val="7"/>
      </w:pPr>
      <w:r>
        <w:t>人民法院可否按行政案件受理</w:t>
      </w:r>
    </w:p>
    <w:p>
      <w:pPr>
        <w:pStyle w:val="7"/>
        <w:rPr>
          <w:rFonts w:hint="eastAsia"/>
        </w:rPr>
      </w:pPr>
      <w:r>
        <w:t>问题的电话答复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9"/>
      </w:pPr>
      <w:r>
        <w:rPr>
          <w:rFonts w:hint="eastAsia"/>
          <w:lang w:eastAsia="zh-CN"/>
        </w:rPr>
        <w:t>（</w:t>
      </w:r>
      <w:r>
        <w:t>1991年6月18日</w:t>
      </w:r>
      <w:r>
        <w:rPr>
          <w:rFonts w:hint="eastAsia"/>
          <w:lang w:eastAsia="zh-CN"/>
        </w:rPr>
        <w:t>）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四川省高级人民法院：</w:t>
      </w:r>
    </w:p>
    <w:p>
      <w:pPr>
        <w:pStyle w:val="12"/>
        <w:jc w:val="both"/>
        <w:rPr>
          <w:rFonts w:hint="eastAsia"/>
        </w:rPr>
      </w:pPr>
      <w:r>
        <w:t>你院川法研〔1991〕22号请示收悉。经研究</w:t>
      </w:r>
      <w:r>
        <w:rPr>
          <w:rFonts w:hint="eastAsia"/>
        </w:rPr>
        <w:t>，</w:t>
      </w:r>
      <w:r>
        <w:t>同意请示中第一种意见。公安机关在侦破刑事案件中</w:t>
      </w:r>
      <w:r>
        <w:rPr>
          <w:rFonts w:hint="eastAsia"/>
        </w:rPr>
        <w:t>，</w:t>
      </w:r>
      <w:r>
        <w:t>对公民的住宅、人身进行搜查</w:t>
      </w:r>
      <w:r>
        <w:rPr>
          <w:rFonts w:hint="eastAsia"/>
        </w:rPr>
        <w:t>，</w:t>
      </w:r>
      <w:r>
        <w:t>属于刑事侦查措施。对于刑事侦查措施不服提起诉讼的</w:t>
      </w:r>
      <w:r>
        <w:rPr>
          <w:rFonts w:hint="eastAsia"/>
        </w:rPr>
        <w:t>，</w:t>
      </w:r>
      <w:r>
        <w:t>不属于行政诉讼调整范围。如果公安机关在采取上述措施时违反法定程序</w:t>
      </w:r>
      <w:r>
        <w:rPr>
          <w:rFonts w:hint="eastAsia"/>
        </w:rPr>
        <w:t>，</w:t>
      </w:r>
      <w:r>
        <w:t>可以向该公安机关或其上级机关</w:t>
      </w:r>
      <w:r>
        <w:rPr>
          <w:rFonts w:hint="eastAsia"/>
        </w:rPr>
        <w:t>及有关部门反映解决，人民法院不应作为行政案件受理。</w:t>
      </w:r>
    </w:p>
    <w:p>
      <w:pPr>
        <w:pStyle w:val="12"/>
        <w:jc w:val="both"/>
        <w:rPr>
          <w:rFonts w:hint="eastAsia"/>
        </w:rPr>
      </w:pPr>
      <w:r>
        <w:rPr>
          <w:rFonts w:hint="eastAsia"/>
        </w:rPr>
        <w:br w:type="page"/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1"/>
        <w:rPr>
          <w:rFonts w:hint="eastAsia"/>
        </w:rPr>
      </w:pPr>
      <w:r>
        <w:t>附：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四川省高级人民法院</w:t>
      </w:r>
    </w:p>
    <w:p>
      <w:pPr>
        <w:pStyle w:val="7"/>
        <w:rPr>
          <w:rFonts w:hint="eastAsia"/>
        </w:rPr>
      </w:pPr>
      <w:r>
        <w:t>关于公安机关未具法定立案搜查手续对公民</w:t>
      </w:r>
    </w:p>
    <w:p>
      <w:pPr>
        <w:pStyle w:val="7"/>
        <w:rPr>
          <w:rFonts w:hint="eastAsia"/>
        </w:rPr>
      </w:pPr>
      <w:r>
        <w:t>进行住宅人身搜查</w:t>
      </w:r>
      <w:r>
        <w:rPr>
          <w:rFonts w:hint="eastAsia"/>
        </w:rPr>
        <w:t>，</w:t>
      </w:r>
      <w:r>
        <w:t>被搜查人提起诉讼</w:t>
      </w:r>
    </w:p>
    <w:p>
      <w:pPr>
        <w:pStyle w:val="7"/>
        <w:rPr>
          <w:rFonts w:hint="eastAsia"/>
        </w:rPr>
      </w:pPr>
      <w:r>
        <w:t>人民法院可否按行政案件受理的请示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rPr>
          <w:rFonts w:hint="eastAsia"/>
        </w:rPr>
        <w:t>1991</w:t>
      </w:r>
      <w:r>
        <w:t>年5月6日</w:t>
      </w:r>
      <w:r>
        <w:rPr>
          <w:rFonts w:hint="eastAsia"/>
          <w:lang w:val="en-US" w:eastAsia="zh-CN"/>
        </w:rPr>
        <w:t xml:space="preserve">      </w:t>
      </w:r>
      <w:bookmarkStart w:id="0" w:name="_GoBack"/>
      <w:bookmarkEnd w:id="0"/>
      <w:r>
        <w:t>川法研〔1991〕22号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最高人民法院：</w:t>
      </w:r>
    </w:p>
    <w:p>
      <w:pPr>
        <w:pStyle w:val="12"/>
        <w:jc w:val="both"/>
        <w:rPr>
          <w:rFonts w:hint="eastAsia"/>
        </w:rPr>
      </w:pPr>
      <w:r>
        <w:t>我省有的公安机关主要的是公安派出所</w:t>
      </w:r>
      <w:r>
        <w:rPr>
          <w:rFonts w:hint="eastAsia"/>
        </w:rPr>
        <w:t>，</w:t>
      </w:r>
      <w:r>
        <w:t>接到群众和单位被盗的报案后</w:t>
      </w:r>
      <w:r>
        <w:rPr>
          <w:rFonts w:hint="eastAsia"/>
        </w:rPr>
        <w:t>，</w:t>
      </w:r>
      <w:r>
        <w:t>没有立案</w:t>
      </w:r>
      <w:r>
        <w:rPr>
          <w:rFonts w:hint="eastAsia"/>
        </w:rPr>
        <w:t>，</w:t>
      </w:r>
      <w:r>
        <w:t>也未具</w:t>
      </w:r>
      <w:r>
        <w:rPr>
          <w:rFonts w:hint="eastAsia"/>
        </w:rPr>
        <w:t>有合法搜查手续，在没有掌握任何证据的情况下，即对作案怀疑对象的住宅、人身进行搜查。被搜查人以公安机关非法搜查侵犯住宅、人身权利为由向法院提起诉讼，要求公安机关恢复名誉，消除影响。对此类诉讼，法院可否按行政案件受理，我们在讨论中有两种意见：</w:t>
      </w:r>
    </w:p>
    <w:p>
      <w:pPr>
        <w:pStyle w:val="12"/>
        <w:jc w:val="both"/>
        <w:rPr>
          <w:rFonts w:hint="eastAsia"/>
        </w:rPr>
      </w:pPr>
      <w:r>
        <w:rPr>
          <w:rFonts w:hint="eastAsia"/>
        </w:rPr>
        <w:t>第一种意见认为，这种搜查住宅、人身的行为，虽不符法定手续，但仍属刑事侦查措施，不属行政诉讼法调整的范围，应告知被搜查人向其上级公安机关反映解决，或向检察机关提出控告，人民法院不应按行政案件受理。</w:t>
      </w:r>
    </w:p>
    <w:p>
      <w:pPr>
        <w:pStyle w:val="12"/>
        <w:jc w:val="both"/>
        <w:rPr>
          <w:rFonts w:hint="eastAsia"/>
        </w:rPr>
      </w:pPr>
      <w:r>
        <w:rPr>
          <w:rFonts w:hint="eastAsia"/>
        </w:rPr>
        <w:t>第二种意见认为，刑事侦查措施应当按照刑事诉讼法的规定采取，公安机关既未依法立案，又未具备合法搜查手续，即对公民的住宅、人身进行搜查，侵犯了公民的人身权利，根据行政诉讼法第十一条第八项的规定，行政机关及其工作人员在执行职务中侵犯了公民的人身权、财产权，应属行政案件的受案范围，人民法院应按行政案件受理。在判决方式上，可宣告公安机关搜查违反刑事诉讼法的规定，造成对公民名誉权的损害，责令公安机关赔礼道歉，恢复名誉，消除影响。如果搜查中造成公民人身伤害和财产损失的，应按行政侵权赔偿一并审理。</w:t>
      </w:r>
    </w:p>
    <w:p>
      <w:pPr>
        <w:pStyle w:val="12"/>
        <w:rPr>
          <w:rFonts w:hint="eastAsia"/>
        </w:rPr>
      </w:pPr>
      <w:r>
        <w:rPr>
          <w:rFonts w:hint="eastAsia"/>
        </w:rPr>
        <w:t>我们倾向于第一种意见，当否，请批复。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806ADD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1D806ADD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9D0251D"/>
    <w:rsid w:val="3D717517"/>
    <w:rsid w:val="3FBC61B7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2017-11-02T10:28:00Z</dcterms:created>
  <dc:creator>Administrator</dc:creator>
  <cp:lastModifiedBy>Administrator</cp:lastModifiedBy>
  <dcterms:modified xsi:type="dcterms:W3CDTF">2017-11-02T11:07:30Z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