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rFonts w:hint="eastAsia" w:ascii="宋体" w:hAnsi="宋体" w:eastAsia="宋体" w:cs="宋体"/>
        </w:rPr>
      </w:pPr>
      <w:bookmarkStart w:id="0" w:name="_GoBack"/>
      <w:bookmarkEnd w:id="0"/>
    </w:p>
    <w:p>
      <w:pPr>
        <w:pStyle w:val="13"/>
        <w:jc w:val="both"/>
        <w:rPr>
          <w:rFonts w:hint="eastAsia" w:ascii="宋体" w:hAnsi="宋体" w:eastAsia="宋体" w:cs="宋体"/>
        </w:rPr>
      </w:pPr>
    </w:p>
    <w:p>
      <w:pPr>
        <w:pStyle w:val="8"/>
        <w:rPr>
          <w:rFonts w:hint="eastAsia"/>
        </w:rPr>
      </w:pPr>
      <w:r>
        <w:t>最高人民法院行政审判庭</w:t>
      </w:r>
    </w:p>
    <w:p>
      <w:pPr>
        <w:pStyle w:val="8"/>
      </w:pPr>
      <w:r>
        <w:t>关于出售淫秽物品如何计算追溯期限</w:t>
      </w:r>
    </w:p>
    <w:p>
      <w:pPr>
        <w:pStyle w:val="8"/>
        <w:rPr>
          <w:rFonts w:hint="eastAsia"/>
        </w:rPr>
      </w:pPr>
      <w:r>
        <w:t>问题的电话答复</w:t>
      </w:r>
    </w:p>
    <w:p>
      <w:pPr>
        <w:pStyle w:val="13"/>
        <w:jc w:val="both"/>
        <w:rPr>
          <w:rFonts w:hint="eastAsia" w:ascii="宋体" w:hAnsi="宋体" w:eastAsia="宋体" w:cs="宋体"/>
        </w:rPr>
      </w:pPr>
    </w:p>
    <w:p>
      <w:pPr>
        <w:pStyle w:val="20"/>
      </w:pPr>
      <w:r>
        <w:rPr>
          <w:rFonts w:hint="eastAsia"/>
          <w:lang w:eastAsia="zh-CN"/>
        </w:rPr>
        <w:t>（</w:t>
      </w:r>
      <w:r>
        <w:t>1991年8月21日</w:t>
      </w:r>
      <w:r>
        <w:rPr>
          <w:rFonts w:hint="eastAsia"/>
          <w:lang w:eastAsia="zh-CN"/>
        </w:rPr>
        <w:t>）</w:t>
      </w:r>
    </w:p>
    <w:p>
      <w:pPr>
        <w:pStyle w:val="13"/>
        <w:jc w:val="both"/>
        <w:rPr>
          <w:rFonts w:hint="eastAsia" w:ascii="宋体" w:hAnsi="宋体" w:eastAsia="宋体" w:cs="宋体"/>
        </w:rPr>
      </w:pPr>
    </w:p>
    <w:p>
      <w:pPr>
        <w:pStyle w:val="22"/>
        <w:rPr>
          <w:rFonts w:hint="eastAsia"/>
        </w:rPr>
      </w:pPr>
      <w:r>
        <w:t>四川省高级人民法院：</w:t>
      </w:r>
    </w:p>
    <w:p>
      <w:pPr>
        <w:pStyle w:val="13"/>
        <w:jc w:val="both"/>
        <w:rPr>
          <w:rFonts w:hint="eastAsia"/>
        </w:rPr>
      </w:pPr>
      <w:r>
        <w:t>你院川法研〔1991〕30号《关于出售淫秽物品如何计算追溯期限问题的请示》收悉。经研究答复如下：</w:t>
      </w:r>
    </w:p>
    <w:p>
      <w:pPr>
        <w:pStyle w:val="13"/>
        <w:jc w:val="both"/>
        <w:rPr>
          <w:rStyle w:val="26"/>
          <w:rFonts w:hint="eastAsia"/>
        </w:rPr>
      </w:pPr>
      <w:r>
        <w:t>原则上同意你院的意见。</w:t>
      </w:r>
    </w:p>
    <w:p>
      <w:pPr>
        <w:pStyle w:val="13"/>
        <w:jc w:val="both"/>
        <w:rPr>
          <w:rStyle w:val="26"/>
          <w:rFonts w:hint="eastAsia"/>
        </w:rPr>
      </w:pPr>
      <w:r>
        <w:rPr>
          <w:rStyle w:val="26"/>
        </w:rPr>
        <w:t>一、</w:t>
      </w:r>
      <w:r>
        <w:t>行为人“将淫秽物品出售他人后”</w:t>
      </w:r>
      <w:r>
        <w:rPr>
          <w:rFonts w:hint="eastAsia"/>
        </w:rPr>
        <w:t>，</w:t>
      </w:r>
      <w:r>
        <w:t>应当视为其违法行为已经终了。“致使淫秽物品接连不断地在社会上转卖、复制、传播”</w:t>
      </w:r>
      <w:r>
        <w:rPr>
          <w:rFonts w:hint="eastAsia"/>
        </w:rPr>
        <w:t>，</w:t>
      </w:r>
      <w:r>
        <w:t>只能作为其违法行为的情节</w:t>
      </w:r>
      <w:r>
        <w:rPr>
          <w:rFonts w:hint="eastAsia"/>
          <w:lang w:eastAsia="zh-CN"/>
        </w:rPr>
        <w:t>（</w:t>
      </w:r>
      <w:r>
        <w:t>即所造成的后果</w:t>
      </w:r>
      <w:r>
        <w:rPr>
          <w:rFonts w:hint="eastAsia"/>
          <w:lang w:eastAsia="zh-CN"/>
        </w:rPr>
        <w:t>）</w:t>
      </w:r>
      <w:r>
        <w:t>来考虑</w:t>
      </w:r>
      <w:r>
        <w:rPr>
          <w:rFonts w:hint="eastAsia"/>
        </w:rPr>
        <w:t>，</w:t>
      </w:r>
      <w:r>
        <w:t>而不能视为连续或继续状态。</w:t>
      </w:r>
    </w:p>
    <w:p>
      <w:pPr>
        <w:pStyle w:val="13"/>
        <w:jc w:val="both"/>
        <w:rPr>
          <w:rFonts w:hint="eastAsia"/>
        </w:rPr>
      </w:pPr>
      <w:r>
        <w:rPr>
          <w:rStyle w:val="26"/>
        </w:rPr>
        <w:t>二、</w:t>
      </w:r>
      <w:r>
        <w:t>根据《治安管理处罚条例》第十八条之规定</w:t>
      </w:r>
      <w:r>
        <w:rPr>
          <w:rFonts w:hint="eastAsia"/>
        </w:rPr>
        <w:t>，</w:t>
      </w:r>
      <w:r>
        <w:t>违反治安管理处罚条例的行为</w:t>
      </w:r>
      <w:r>
        <w:rPr>
          <w:rFonts w:hint="eastAsia"/>
        </w:rPr>
        <w:t>，</w:t>
      </w:r>
      <w:r>
        <w:t>只要超过法定追溯期限</w:t>
      </w:r>
      <w:r>
        <w:rPr>
          <w:rFonts w:hint="eastAsia"/>
        </w:rPr>
        <w:t>，</w:t>
      </w:r>
      <w:r>
        <w:t>即不能追究行为人的法律责任。</w:t>
      </w:r>
    </w:p>
    <w:p>
      <w:pPr>
        <w:pStyle w:val="13"/>
        <w:jc w:val="both"/>
      </w:pPr>
      <w:r>
        <w:t>此复。</w:t>
      </w:r>
    </w:p>
    <w:p>
      <w:pPr>
        <w:pStyle w:val="13"/>
        <w:jc w:val="both"/>
      </w:pPr>
      <w:r>
        <w:br w:type="page"/>
      </w:r>
    </w:p>
    <w:p>
      <w:pPr>
        <w:pStyle w:val="13"/>
        <w:jc w:val="both"/>
        <w:rPr>
          <w:rFonts w:hint="eastAsia" w:ascii="宋体" w:hAnsi="宋体" w:eastAsia="宋体" w:cs="宋体"/>
        </w:rPr>
      </w:pPr>
    </w:p>
    <w:p>
      <w:pPr>
        <w:pStyle w:val="12"/>
        <w:rPr>
          <w:rFonts w:hint="eastAsia"/>
        </w:rPr>
      </w:pPr>
      <w:r>
        <w:t>附：</w:t>
      </w:r>
    </w:p>
    <w:p>
      <w:pPr>
        <w:pStyle w:val="13"/>
        <w:jc w:val="both"/>
        <w:rPr>
          <w:rFonts w:hint="eastAsia" w:ascii="宋体" w:hAnsi="宋体" w:eastAsia="宋体" w:cs="宋体"/>
        </w:rPr>
      </w:pPr>
    </w:p>
    <w:p>
      <w:pPr>
        <w:pStyle w:val="13"/>
        <w:jc w:val="both"/>
        <w:rPr>
          <w:rFonts w:hint="eastAsia" w:ascii="宋体" w:hAnsi="宋体" w:eastAsia="宋体" w:cs="宋体"/>
        </w:rPr>
      </w:pPr>
    </w:p>
    <w:p>
      <w:pPr>
        <w:pStyle w:val="8"/>
        <w:rPr>
          <w:rFonts w:hint="eastAsia"/>
        </w:rPr>
      </w:pPr>
      <w:r>
        <w:t>四川省高级人民法院</w:t>
      </w:r>
    </w:p>
    <w:p>
      <w:pPr>
        <w:pStyle w:val="8"/>
        <w:rPr>
          <w:rFonts w:hint="eastAsia"/>
        </w:rPr>
      </w:pPr>
      <w:r>
        <w:t>关于出售淫秽物品如</w:t>
      </w:r>
      <w:r>
        <w:rPr>
          <w:rFonts w:hint="eastAsia"/>
        </w:rPr>
        <w:t>何计算追溯期限</w:t>
      </w:r>
    </w:p>
    <w:p>
      <w:pPr>
        <w:pStyle w:val="8"/>
        <w:rPr>
          <w:rFonts w:hint="eastAsia"/>
        </w:rPr>
      </w:pPr>
      <w:r>
        <w:rPr>
          <w:rFonts w:hint="eastAsia"/>
        </w:rPr>
        <w:t>问题的请示</w:t>
      </w:r>
    </w:p>
    <w:p>
      <w:pPr>
        <w:pStyle w:val="13"/>
        <w:jc w:val="both"/>
        <w:rPr>
          <w:rFonts w:hint="eastAsia" w:ascii="宋体" w:hAnsi="宋体" w:eastAsia="宋体" w:cs="宋体"/>
        </w:rPr>
      </w:pPr>
    </w:p>
    <w:p>
      <w:pPr>
        <w:pStyle w:val="23"/>
        <w:rPr>
          <w:rFonts w:hint="eastAsia"/>
        </w:rPr>
      </w:pPr>
      <w:r>
        <w:rPr>
          <w:rFonts w:hint="eastAsia"/>
        </w:rPr>
        <w:t>1991</w:t>
      </w:r>
      <w:r>
        <w:t>年6月25日</w:t>
      </w:r>
      <w:r>
        <w:rPr>
          <w:rFonts w:hint="eastAsia"/>
          <w:lang w:val="en-US" w:eastAsia="zh-CN"/>
        </w:rPr>
        <w:t xml:space="preserve">      </w:t>
      </w:r>
      <w:r>
        <w:t>川法研〔1991〕30号</w:t>
      </w:r>
    </w:p>
    <w:p>
      <w:pPr>
        <w:pStyle w:val="13"/>
        <w:jc w:val="both"/>
        <w:rPr>
          <w:rFonts w:hint="eastAsia" w:ascii="宋体" w:hAnsi="宋体" w:eastAsia="宋体" w:cs="宋体"/>
        </w:rPr>
      </w:pPr>
    </w:p>
    <w:p>
      <w:pPr>
        <w:pStyle w:val="22"/>
        <w:rPr>
          <w:rFonts w:hint="eastAsia"/>
        </w:rPr>
      </w:pPr>
      <w:r>
        <w:t>最高人民法院：</w:t>
      </w:r>
    </w:p>
    <w:p>
      <w:pPr>
        <w:pStyle w:val="13"/>
        <w:jc w:val="both"/>
        <w:rPr>
          <w:rFonts w:hint="eastAsia"/>
        </w:rPr>
      </w:pPr>
      <w:r>
        <w:t>行为人违反治安管理处罚条例</w:t>
      </w:r>
      <w:r>
        <w:rPr>
          <w:rFonts w:hint="eastAsia"/>
        </w:rPr>
        <w:t>，</w:t>
      </w:r>
      <w:r>
        <w:t>将淫秽物品出售他人后</w:t>
      </w:r>
      <w:r>
        <w:rPr>
          <w:rFonts w:hint="eastAsia"/>
        </w:rPr>
        <w:t>，</w:t>
      </w:r>
      <w:r>
        <w:t>致使淫秽物品接连不断地在社会上转卖、复制、传播</w:t>
      </w:r>
      <w:r>
        <w:rPr>
          <w:rFonts w:hint="eastAsia"/>
        </w:rPr>
        <w:t>，</w:t>
      </w:r>
      <w:r>
        <w:t>对行为人如何确定追溯期限的问题</w:t>
      </w:r>
      <w:r>
        <w:rPr>
          <w:rFonts w:hint="eastAsia"/>
        </w:rPr>
        <w:t>，</w:t>
      </w:r>
      <w:r>
        <w:t>我们与公安机关认识不一致</w:t>
      </w:r>
      <w:r>
        <w:rPr>
          <w:rFonts w:hint="eastAsia"/>
        </w:rPr>
        <w:t>，</w:t>
      </w:r>
      <w:r>
        <w:t>现请示如下：</w:t>
      </w:r>
    </w:p>
    <w:p>
      <w:pPr>
        <w:pStyle w:val="13"/>
        <w:jc w:val="both"/>
        <w:rPr>
          <w:rFonts w:hint="eastAsia"/>
        </w:rPr>
      </w:pPr>
      <w:r>
        <w:t>公安机关认为</w:t>
      </w:r>
      <w:r>
        <w:rPr>
          <w:rFonts w:hint="eastAsia"/>
        </w:rPr>
        <w:t>，</w:t>
      </w:r>
      <w:r>
        <w:t>行为人将淫秽物品出售后</w:t>
      </w:r>
      <w:r>
        <w:rPr>
          <w:rFonts w:hint="eastAsia"/>
        </w:rPr>
        <w:t>，</w:t>
      </w:r>
      <w:r>
        <w:t>淫秽物品继续在社会上转卖、复制、传播</w:t>
      </w:r>
      <w:r>
        <w:rPr>
          <w:rFonts w:hint="eastAsia"/>
        </w:rPr>
        <w:t>，</w:t>
      </w:r>
      <w:r>
        <w:t>应视为行为人出售淫秽物品处于继续状态。公安机关查获时</w:t>
      </w:r>
      <w:r>
        <w:rPr>
          <w:rFonts w:hint="eastAsia"/>
        </w:rPr>
        <w:t>，</w:t>
      </w:r>
      <w:r>
        <w:t>无论是否超过六个月</w:t>
      </w:r>
      <w:r>
        <w:rPr>
          <w:rFonts w:hint="eastAsia"/>
        </w:rPr>
        <w:t>，</w:t>
      </w:r>
      <w:r>
        <w:t>都可对最初出售</w:t>
      </w:r>
      <w:r>
        <w:rPr>
          <w:rFonts w:hint="eastAsia"/>
        </w:rPr>
        <w:t>淫秽物品的行为人进行处罚。这样有利于同这种毒害社会的违法行为作斗争。</w:t>
      </w:r>
    </w:p>
    <w:p>
      <w:pPr>
        <w:pStyle w:val="13"/>
        <w:jc w:val="both"/>
        <w:rPr>
          <w:rFonts w:hint="eastAsia"/>
        </w:rPr>
      </w:pPr>
      <w:r>
        <w:rPr>
          <w:rFonts w:hint="eastAsia"/>
        </w:rPr>
        <w:t>我们认为，行为人将淫秽物品一经出售，违法行为即告终结，根据《治安管理处罚条例》第十八条第一款的规定，其追溯期限应从出售之日起计算，在六个月内公安机关没有发现的，不再处罚。所谓继续状态是指行为人直接实施的出卖淫秽物品的行为处于继续状态，而不是行为人出售造成的后果延续。</w:t>
      </w:r>
    </w:p>
    <w:p>
      <w:pPr>
        <w:pStyle w:val="13"/>
        <w:rPr>
          <w:rFonts w:hint="eastAsia"/>
        </w:rPr>
      </w:pPr>
      <w:r>
        <w:rPr>
          <w:rFonts w:hint="eastAsia"/>
        </w:rPr>
        <w:t>如何计算为当，请批示。</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1108F"/>
    <w:rsid w:val="00323D76"/>
    <w:rsid w:val="02380A4E"/>
    <w:rsid w:val="02C54CFB"/>
    <w:rsid w:val="042F174E"/>
    <w:rsid w:val="0751543E"/>
    <w:rsid w:val="0BE369DE"/>
    <w:rsid w:val="0F9D48A9"/>
    <w:rsid w:val="0FC66F39"/>
    <w:rsid w:val="135B4974"/>
    <w:rsid w:val="19EF53F7"/>
    <w:rsid w:val="1C547AC8"/>
    <w:rsid w:val="1DE600C7"/>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9F1108F"/>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2017-11-02T10:31:00Z</dcterms:created>
  <dc:creator>Administrator</dc:creator>
  <cp:lastModifiedBy>Administrator</cp:lastModifiedBy>
  <dcterms:modified xsi:type="dcterms:W3CDTF">2017-11-02T11:13:34Z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