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jc w:val="center"/>
        <w:textAlignment w:val="auto"/>
        <w:rPr>
          <w:rFonts w:hint="eastAsia" w:eastAsia="楷体_GB2312"/>
        </w:rPr>
      </w:pPr>
    </w:p>
    <w:p>
      <w:pPr>
        <w:keepNext w:val="0"/>
        <w:keepLines w:val="0"/>
        <w:pageBreakBefore w:val="0"/>
        <w:widowControl w:val="0"/>
        <w:kinsoku/>
        <w:wordWrap/>
        <w:overflowPunct/>
        <w:topLinePunct w:val="0"/>
        <w:autoSpaceDE/>
        <w:autoSpaceDN/>
        <w:bidi w:val="0"/>
        <w:spacing w:line="560" w:lineRule="exact"/>
        <w:jc w:val="center"/>
        <w:textAlignment w:val="auto"/>
        <w:rPr>
          <w:rFonts w:eastAsia="楷体_GB231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0"/>
        <w:rPr>
          <w:rFonts w:hint="eastAsia" w:ascii="宋体" w:hAnsi="宋体" w:eastAsia="宋体"/>
          <w:sz w:val="44"/>
          <w:szCs w:val="44"/>
        </w:rPr>
      </w:pPr>
      <w:r>
        <w:rPr>
          <w:rFonts w:hint="eastAsia" w:ascii="宋体" w:hAnsi="宋体" w:eastAsia="宋体"/>
          <w:sz w:val="44"/>
          <w:szCs w:val="44"/>
        </w:rPr>
        <w:t>枣庄市制定地方性法规条例</w:t>
      </w:r>
    </w:p>
    <w:p>
      <w:pPr>
        <w:keepNext w:val="0"/>
        <w:keepLines w:val="0"/>
        <w:pageBreakBefore w:val="0"/>
        <w:widowControl w:val="0"/>
        <w:shd w:val="clear" w:color="auto" w:fill="FFFFFF"/>
        <w:kinsoku/>
        <w:wordWrap/>
        <w:overflowPunct/>
        <w:topLinePunct w:val="0"/>
        <w:autoSpaceDE/>
        <w:autoSpaceDN/>
        <w:bidi w:val="0"/>
        <w:spacing w:line="560" w:lineRule="exact"/>
        <w:ind w:firstLine="640" w:firstLineChars="200"/>
        <w:textAlignment w:val="auto"/>
        <w:rPr>
          <w:rFonts w:hint="eastAsia" w:ascii="楷体_GB2312" w:hAnsi="宋体" w:eastAsia="楷体_GB2312" w:cs="宋体"/>
          <w:color w:val="000000"/>
          <w:kern w:val="0"/>
          <w:szCs w:val="32"/>
        </w:rPr>
      </w:pPr>
    </w:p>
    <w:p>
      <w:pPr>
        <w:keepNext w:val="0"/>
        <w:keepLines w:val="0"/>
        <w:pageBreakBefore w:val="0"/>
        <w:widowControl w:val="0"/>
        <w:shd w:val="clear" w:color="auto" w:fill="FFFFFF"/>
        <w:kinsoku/>
        <w:wordWrap/>
        <w:overflowPunct/>
        <w:topLinePunct w:val="0"/>
        <w:autoSpaceDE/>
        <w:autoSpaceDN/>
        <w:bidi w:val="0"/>
        <w:spacing w:line="560" w:lineRule="exact"/>
        <w:ind w:left="707" w:leftChars="200" w:right="762" w:rightChars="238" w:hanging="67" w:hangingChars="21"/>
        <w:textAlignment w:val="auto"/>
        <w:rPr>
          <w:rFonts w:hint="eastAsia" w:ascii="楷体_GB2312" w:hAnsi="宋体" w:eastAsia="楷体_GB2312" w:cs="宋体"/>
          <w:color w:val="000000"/>
          <w:kern w:val="0"/>
          <w:szCs w:val="32"/>
        </w:rPr>
      </w:pPr>
      <w:r>
        <w:rPr>
          <w:rFonts w:hint="eastAsia" w:ascii="楷体_GB2312" w:hAnsi="宋体" w:eastAsia="楷体_GB2312" w:cs="宋体"/>
          <w:color w:val="000000"/>
          <w:kern w:val="0"/>
          <w:szCs w:val="32"/>
        </w:rPr>
        <w:t xml:space="preserve">（2017年2月23日枣庄市第十六届人民代表大会第一次会议通过  </w:t>
      </w:r>
      <w:r>
        <w:rPr>
          <w:rFonts w:hint="eastAsia" w:ascii="楷体_GB2312" w:hAnsi="楷体" w:eastAsia="楷体_GB2312" w:cs="楷体"/>
          <w:bCs/>
          <w:szCs w:val="32"/>
          <w:shd w:val="clear" w:color="auto" w:fill="FFFFFF"/>
        </w:rPr>
        <w:t>2017年3月29日山东省第十二届人民代表大会常务委员会第二十七次会议批准</w:t>
      </w:r>
      <w:r>
        <w:rPr>
          <w:rFonts w:hint="eastAsia" w:ascii="楷体_GB2312" w:hAnsi="宋体" w:eastAsia="楷体_GB2312" w:cs="宋体"/>
          <w:color w:val="000000"/>
          <w:kern w:val="0"/>
          <w:szCs w:val="32"/>
        </w:rPr>
        <w:t>）</w:t>
      </w:r>
    </w:p>
    <w:p>
      <w:pPr>
        <w:keepNext w:val="0"/>
        <w:keepLines w:val="0"/>
        <w:pageBreakBefore w:val="0"/>
        <w:widowControl w:val="0"/>
        <w:kinsoku/>
        <w:wordWrap/>
        <w:overflowPunct/>
        <w:topLinePunct w:val="0"/>
        <w:autoSpaceDE/>
        <w:autoSpaceDN/>
        <w:bidi w:val="0"/>
        <w:spacing w:line="560" w:lineRule="exact"/>
        <w:ind w:firstLine="640" w:firstLineChars="200"/>
        <w:jc w:val="center"/>
        <w:textAlignment w:val="auto"/>
        <w:rPr>
          <w:rFonts w:hint="eastAsia" w:ascii="仿宋_GB2312"/>
          <w:szCs w:val="32"/>
        </w:rPr>
      </w:pPr>
    </w:p>
    <w:p>
      <w:pPr>
        <w:keepNext w:val="0"/>
        <w:keepLines w:val="0"/>
        <w:pageBreakBefore w:val="0"/>
        <w:widowControl w:val="0"/>
        <w:shd w:val="solid" w:color="FFFFFF" w:fill="auto"/>
        <w:kinsoku/>
        <w:wordWrap/>
        <w:overflowPunct/>
        <w:topLinePunct w:val="0"/>
        <w:autoSpaceDN w:val="0"/>
        <w:bidi w:val="0"/>
        <w:adjustRightInd/>
        <w:snapToGrid/>
        <w:spacing w:line="560" w:lineRule="exact"/>
        <w:jc w:val="center"/>
        <w:textAlignment w:val="auto"/>
        <w:outlineLvl w:val="9"/>
        <w:rPr>
          <w:rFonts w:hint="eastAsia" w:ascii="楷体_GB2312" w:hAnsi="黑体" w:eastAsia="楷体_GB2312" w:cs="黑体"/>
          <w:bCs/>
          <w:szCs w:val="32"/>
          <w:shd w:val="clear" w:color="auto" w:fill="FFFFFF"/>
        </w:rPr>
      </w:pPr>
      <w:r>
        <w:rPr>
          <w:rFonts w:hint="eastAsia" w:ascii="楷体_GB2312" w:hAnsi="黑体" w:eastAsia="楷体_GB2312" w:cs="黑体"/>
          <w:bCs/>
          <w:szCs w:val="32"/>
          <w:shd w:val="clear" w:color="auto" w:fill="FFFFFF"/>
        </w:rPr>
        <w:t>目  录</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楷体_GB2312" w:eastAsia="楷体_GB2312"/>
          <w:szCs w:val="32"/>
        </w:rPr>
      </w:pPr>
      <w:r>
        <w:rPr>
          <w:rFonts w:hint="eastAsia" w:ascii="楷体_GB2312" w:eastAsia="楷体_GB2312"/>
          <w:szCs w:val="32"/>
        </w:rPr>
        <w:t>第一章　总则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楷体_GB2312" w:eastAsia="楷体_GB2312"/>
          <w:szCs w:val="32"/>
        </w:rPr>
      </w:pPr>
      <w:r>
        <w:rPr>
          <w:rFonts w:hint="eastAsia" w:ascii="楷体_GB2312" w:eastAsia="楷体_GB2312"/>
          <w:szCs w:val="32"/>
        </w:rPr>
        <w:t>第二章　市人民代表大会制定地方性法规程序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楷体_GB2312" w:eastAsia="楷体_GB2312"/>
          <w:szCs w:val="32"/>
        </w:rPr>
      </w:pPr>
      <w:r>
        <w:rPr>
          <w:rFonts w:hint="eastAsia" w:ascii="楷体_GB2312" w:eastAsia="楷体_GB2312"/>
          <w:szCs w:val="32"/>
        </w:rPr>
        <w:t>第三章　市人民代表大会常务委员会制定地方性法规程序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楷体_GB2312" w:eastAsia="楷体_GB2312"/>
          <w:szCs w:val="32"/>
        </w:rPr>
      </w:pPr>
      <w:r>
        <w:rPr>
          <w:rFonts w:hint="eastAsia" w:ascii="楷体_GB2312" w:eastAsia="楷体_GB2312"/>
          <w:szCs w:val="32"/>
        </w:rPr>
        <w:t>第四章　地方性法规的报批和公布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楷体_GB2312" w:eastAsia="楷体_GB2312"/>
          <w:szCs w:val="32"/>
        </w:rPr>
      </w:pPr>
      <w:r>
        <w:rPr>
          <w:rFonts w:hint="eastAsia" w:ascii="楷体_GB2312" w:eastAsia="楷体_GB2312"/>
          <w:szCs w:val="32"/>
        </w:rPr>
        <w:t>第五章　地方性法规的解释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楷体_GB2312" w:eastAsia="楷体_GB2312"/>
          <w:szCs w:val="32"/>
        </w:rPr>
      </w:pPr>
      <w:r>
        <w:rPr>
          <w:rFonts w:hint="eastAsia" w:ascii="楷体_GB2312" w:eastAsia="楷体_GB2312"/>
          <w:szCs w:val="32"/>
        </w:rPr>
        <w:t>第六章　其他规定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楷体_GB2312" w:eastAsia="楷体_GB2312"/>
          <w:szCs w:val="32"/>
        </w:rPr>
      </w:pPr>
      <w:r>
        <w:rPr>
          <w:rFonts w:hint="eastAsia" w:ascii="楷体_GB2312" w:eastAsia="楷体_GB2312"/>
          <w:szCs w:val="32"/>
        </w:rPr>
        <w:t>第七章　附则</w:t>
      </w:r>
    </w:p>
    <w:p>
      <w:pPr>
        <w:keepNext w:val="0"/>
        <w:keepLines w:val="0"/>
        <w:pageBreakBefore w:val="0"/>
        <w:widowControl w:val="0"/>
        <w:kinsoku/>
        <w:wordWrap/>
        <w:overflowPunct/>
        <w:topLinePunct w:val="0"/>
        <w:autoSpaceDE/>
        <w:autoSpaceDN/>
        <w:bidi w:val="0"/>
        <w:spacing w:line="560" w:lineRule="exact"/>
        <w:textAlignment w:val="auto"/>
        <w:rPr>
          <w:rFonts w:hint="eastAsia" w:ascii="仿宋_GB2312"/>
          <w:szCs w:val="32"/>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黑体" w:eastAsia="黑体"/>
          <w:szCs w:val="32"/>
          <w:shd w:val="clear" w:color="auto" w:fill="FFFFFF"/>
        </w:rPr>
      </w:pPr>
      <w:r>
        <w:rPr>
          <w:rFonts w:hint="eastAsia" w:ascii="黑体" w:eastAsia="黑体"/>
          <w:szCs w:val="32"/>
        </w:rPr>
        <w:t>第一章　</w:t>
      </w:r>
      <w:r>
        <w:rPr>
          <w:rFonts w:hint="eastAsia" w:ascii="黑体" w:eastAsia="黑体"/>
          <w:szCs w:val="32"/>
          <w:shd w:val="clear" w:color="auto" w:fill="FFFFFF"/>
        </w:rPr>
        <w:t>总则</w:t>
      </w: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eastAsia="黑体"/>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第一条</w:t>
      </w:r>
      <w:r>
        <w:rPr>
          <w:rFonts w:hint="eastAsia" w:ascii="仿宋_GB2312"/>
          <w:szCs w:val="32"/>
        </w:rPr>
        <w:t>　为了规范制定地方性法规活动，保证地方性法规质量，建设法治枣庄，根据《中华人民共和国立法法》、《中华人民共和国地方各级人民代表大会和地方各级人民政府组织法》和《山东省地方立法条例》等有关法律法规的规定，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第二条</w:t>
      </w:r>
      <w:r>
        <w:rPr>
          <w:rFonts w:hint="eastAsia" w:ascii="仿宋_GB2312"/>
          <w:szCs w:val="32"/>
        </w:rPr>
        <w:t>　市人民代表大会及其常务委员会制定、修改、废止和解释地方性法规，适用本条例。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第三条</w:t>
      </w:r>
      <w:r>
        <w:rPr>
          <w:rFonts w:hint="eastAsia" w:ascii="仿宋_GB2312"/>
          <w:szCs w:val="32"/>
        </w:rPr>
        <w:t>　制定地方性法规应当坚持中国共产党的领导，发挥市人民代表大会及其常务委员会的主导作用，以政府为依托，吸纳社会各方广泛参与，实行科学立法、民主立法，体现人民的意志和利益。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第四条</w:t>
      </w:r>
      <w:r>
        <w:rPr>
          <w:rFonts w:hint="eastAsia" w:ascii="仿宋_GB2312"/>
          <w:szCs w:val="32"/>
        </w:rPr>
        <w:t>　制定地方性法规，应当遵循宪法和立法法的基本原则，不得同宪法、法律、行政法规和省人民代表大会及其常务委员会制定的地方性法规相抵触，维护社会主义法制的统一和尊严。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第五条</w:t>
      </w:r>
      <w:r>
        <w:rPr>
          <w:rFonts w:hint="eastAsia" w:ascii="仿宋_GB2312"/>
          <w:szCs w:val="32"/>
        </w:rPr>
        <w:t>　制定地方性法规应当坚持正确处理改革、发展、稳定的关系，科学合理地规定公民、法人和其他组织的权利与义务、国家机关的权力与责任。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地方性法规的内容应当明确、具体，具有针对性和可执行性。对上位法已经明确规定的内容，一般不作重复性规定。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第六条</w:t>
      </w:r>
      <w:r>
        <w:rPr>
          <w:rFonts w:hint="eastAsia" w:ascii="仿宋_GB2312"/>
          <w:szCs w:val="32"/>
        </w:rPr>
        <w:t>　在充分调查论证的基础上制定符合枣庄实际、体现地方特色，对推动全市经济社会发展有促进作用的地方性法规。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第七条</w:t>
      </w:r>
      <w:r>
        <w:rPr>
          <w:rFonts w:hint="eastAsia" w:ascii="仿宋_GB2312"/>
          <w:szCs w:val="32"/>
        </w:rPr>
        <w:t>　市人民代表大会及其常务委员会根据本市的具体情况和实际需要，依照法律规定的权限，可以对城乡建设与管理、环境保护、历史文化保护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第八条</w:t>
      </w:r>
      <w:r>
        <w:rPr>
          <w:rFonts w:hint="eastAsia" w:ascii="仿宋_GB2312"/>
          <w:szCs w:val="32"/>
        </w:rPr>
        <w:t>　规定本市行政区域特别重大事项的地方性法规，应当由市人民代表大会通过。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市人民代表大会常务委员会可以制定和修改除应当由市人民代表大会通过的地方性法规以外的其他地方性法规；在市人民代表大会闭会期间，可以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eastAsia="黑体"/>
          <w:szCs w:val="32"/>
        </w:rPr>
      </w:pPr>
      <w:r>
        <w:rPr>
          <w:rFonts w:hint="eastAsia" w:ascii="黑体" w:eastAsia="黑体"/>
          <w:szCs w:val="32"/>
        </w:rPr>
        <w:t>第二章　市人民代表大会制定地方性法规程序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第九条</w:t>
      </w:r>
      <w:r>
        <w:rPr>
          <w:rFonts w:hint="eastAsia" w:ascii="仿宋_GB2312"/>
          <w:szCs w:val="32"/>
        </w:rPr>
        <w:t>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市人民代表大会常务委员会、市人民政府、市人民代表大会各专门委员会，可以向市人民代表大会提出地方性法规案，由主席团决定列入会议议程。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第十条</w:t>
      </w:r>
      <w:r>
        <w:rPr>
          <w:rFonts w:hint="eastAsia" w:ascii="仿宋_GB2312"/>
          <w:szCs w:val="32"/>
        </w:rPr>
        <w:t>　市人民代表大会代表十人以上联名，可以向市人民代表大会提出地方性法规案，由主席团决定是否列入会议议程，或者先交有关的专门委员会审议、提出是否列入会议议程的意见，再决定是否列入会议议程。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第十一条</w:t>
      </w:r>
      <w:r>
        <w:rPr>
          <w:rFonts w:hint="eastAsia" w:ascii="仿宋_GB2312"/>
          <w:szCs w:val="32"/>
        </w:rPr>
        <w:t>　向市人民代表大会提出的地方性法规案，在市人民代表大会闭会期间，可以先向常务委员会提出，经常务委员会会议依照本条例第三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第十二条</w:t>
      </w:r>
      <w:r>
        <w:rPr>
          <w:rFonts w:hint="eastAsia" w:ascii="仿宋_GB2312"/>
          <w:szCs w:val="32"/>
        </w:rPr>
        <w:t>　常务委员会决定提请市人民代表大会会议审议的地方性法规案，应当在会议举行的一个月前将地方性法规草案发给代表。</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第十三条</w:t>
      </w:r>
      <w:r>
        <w:rPr>
          <w:rFonts w:hint="eastAsia" w:ascii="仿宋_GB2312"/>
          <w:szCs w:val="32"/>
        </w:rPr>
        <w:t>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第十四条</w:t>
      </w:r>
      <w:r>
        <w:rPr>
          <w:rFonts w:hint="eastAsia" w:ascii="仿宋_GB2312"/>
          <w:szCs w:val="32"/>
        </w:rPr>
        <w:t>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第十五条</w:t>
      </w:r>
      <w:r>
        <w:rPr>
          <w:rFonts w:hint="eastAsia" w:ascii="仿宋_GB2312"/>
          <w:szCs w:val="32"/>
        </w:rPr>
        <w:t>　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第十六条</w:t>
      </w:r>
      <w:r>
        <w:rPr>
          <w:rFonts w:hint="eastAsia" w:ascii="仿宋_GB2312"/>
          <w:szCs w:val="32"/>
        </w:rPr>
        <w:t>　列入市人民代表大会会议议程的地方性法规案，必要时，主席团常务主席可以召开各代表团团长会议，就地方性法规案中的重大问题听取各代表团的意见，进行讨论，并将讨论的情况和意见向主席团报告。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第十七条</w:t>
      </w:r>
      <w:r>
        <w:rPr>
          <w:rFonts w:hint="eastAsia" w:ascii="仿宋_GB2312"/>
          <w:szCs w:val="32"/>
        </w:rPr>
        <w:t>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第十八条</w:t>
      </w:r>
      <w:r>
        <w:rPr>
          <w:rFonts w:hint="eastAsia" w:ascii="仿宋_GB231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第十九条</w:t>
      </w:r>
      <w:r>
        <w:rPr>
          <w:rFonts w:hint="eastAsia" w:ascii="仿宋_GB2312"/>
          <w:szCs w:val="32"/>
        </w:rPr>
        <w:t>　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eastAsia="黑体"/>
          <w:szCs w:val="32"/>
        </w:rPr>
      </w:pPr>
      <w:r>
        <w:rPr>
          <w:rFonts w:hint="eastAsia" w:ascii="黑体" w:eastAsia="黑体"/>
          <w:szCs w:val="32"/>
        </w:rPr>
        <w:t>第三章　市人民代表大会常务委员会制定地方性法规程序</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第二十条</w:t>
      </w:r>
      <w:r>
        <w:rPr>
          <w:rFonts w:hint="eastAsia" w:ascii="仿宋_GB2312"/>
          <w:szCs w:val="32"/>
        </w:rPr>
        <w:t>　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第二十一条</w:t>
      </w:r>
      <w:r>
        <w:rPr>
          <w:rFonts w:hint="eastAsia" w:ascii="仿宋_GB2312"/>
          <w:szCs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第二十二条</w:t>
      </w:r>
      <w:r>
        <w:rPr>
          <w:rFonts w:hint="eastAsia" w:ascii="仿宋_GB2312"/>
          <w:szCs w:val="32"/>
        </w:rPr>
        <w:t>　提请常务委员会审议的地方性法规案，提案人应当在会议举行的一个月前，将提请审议的地方性法规案送交常务委员会。未在一个月前送交的，不列入本次常务委员会会议议程。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第二十三条</w:t>
      </w:r>
      <w:r>
        <w:rPr>
          <w:rFonts w:hint="eastAsia" w:ascii="仿宋_GB2312"/>
          <w:szCs w:val="32"/>
        </w:rPr>
        <w:t>　列入常务委员会会议议程的地方性法规案，除特殊情况外，应当在会议举行的七日前将地方性法规草案发给常务委员会组成人员。</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第二十四条</w:t>
      </w:r>
      <w:r>
        <w:rPr>
          <w:rFonts w:hint="eastAsia" w:ascii="仿宋_GB2312"/>
          <w:szCs w:val="32"/>
        </w:rPr>
        <w:t>　列入常务委员会会议议程的地方性法规案，一般应当经两次常务委员会会议审议后再交付表决。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常务委员会会议第一次审议地方性法规案，在全体会议上听取提案人的说明，印发有关专门委员会的书面审议报告，由分组会议进行初步审议。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常务委员会审议地方性法规案时，根据需要，可以召开联组会议或者全体会议，对地方性法规草案中的主要问题进行讨论。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第二十五条</w:t>
      </w:r>
      <w:r>
        <w:rPr>
          <w:rFonts w:hint="eastAsia" w:ascii="仿宋_GB2312"/>
          <w:szCs w:val="32"/>
        </w:rPr>
        <w:t>　列入常务委员会会议议程的地方性法规案，调整事项较为单一、只作部分修改或者各方面意见比较一致的，可以经一次常务委员会会议审议即交付表决。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地方性法规案涉及本市重大事项或者各方面存在较大意见分歧的，经主任会议决定，可以经过三次以上常务委员会会议审议后交付表决。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第二十六条</w:t>
      </w:r>
      <w:r>
        <w:rPr>
          <w:rFonts w:hint="eastAsia" w:ascii="仿宋_GB2312"/>
          <w:szCs w:val="32"/>
        </w:rPr>
        <w:t>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常务委员会分组会议审议地方性法规案时，根据小组的要求，有关机关、组织应当派人介绍情况。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第二十七条</w:t>
      </w:r>
      <w:r>
        <w:rPr>
          <w:rFonts w:hint="eastAsia" w:ascii="仿宋_GB2312"/>
          <w:szCs w:val="32"/>
        </w:rPr>
        <w:t>　列入常务委员会会议议程的地方性法规案，由有关的专门委员会进行审议，提出审议意见，印发常务委员会会议。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有关的专门委员会审议地方性法规案时，可以邀请其他专门委员会的成员列席会议，发表意见。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第二十八条</w:t>
      </w:r>
      <w:r>
        <w:rPr>
          <w:rFonts w:hint="eastAsia" w:ascii="仿宋_GB2312"/>
          <w:szCs w:val="32"/>
        </w:rPr>
        <w:t>　列入常务委员会会议议程的地方性法规案，由法制委员会根据常务委员会组成人员、有关的专门委员会的审议意见和各方面提出的意见，对地方性法规案进行统一审议，提出修改情况的汇报或者审议结果报告和地方性法规草案修改稿，对重要的不同意见应当在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法制委员会审议地方性法规案时，应当邀请有关的专门委员会的成员列席会议，发表意见。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第二十九条</w:t>
      </w:r>
      <w:r>
        <w:rPr>
          <w:rFonts w:hint="eastAsia" w:ascii="仿宋_GB2312"/>
          <w:szCs w:val="32"/>
        </w:rPr>
        <w:t>　专门委员会审议地方性法规案时，应当召开全体会议审议，根据需要，可以要求有关机关、组织派有关负责人说明情况。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第三十条</w:t>
      </w:r>
      <w:r>
        <w:rPr>
          <w:rFonts w:hint="eastAsia" w:ascii="仿宋_GB2312"/>
          <w:szCs w:val="32"/>
        </w:rPr>
        <w:t>　专门委员会之间对地方性法规草案的重要问题意见不一致时，应当向常务委员会主任会议报告。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第三十一条</w:t>
      </w:r>
      <w:r>
        <w:rPr>
          <w:rFonts w:hint="eastAsia" w:ascii="仿宋_GB2312"/>
          <w:szCs w:val="32"/>
        </w:rPr>
        <w:t>　列入常务委员会会议议程的地方性法规案，法制委员会、有关的专门委员会和常务委员会工作机构应当听取各方面的意见。听取意见可以采取座谈会、论证会、听证会等多种形式进行。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地方性法规案有关问题存在重大意见分歧或者涉及利益关系重大调整，需要进行听证的，应当召开听证会，听取有关基层和群体代表、部门、人民团体、专家学者、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常务委员会工作机构应当将地方性法规草案发送相关的市人民代表大会代表、区（市）人民代表大会常务委员会以及有关部门、组织和专家学者征求意见。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第三十二条</w:t>
      </w:r>
      <w:r>
        <w:rPr>
          <w:rFonts w:hint="eastAsia" w:ascii="仿宋_GB2312"/>
          <w:szCs w:val="32"/>
        </w:rPr>
        <w:t>　列入常务委员会会议议程的地方性法规案，应当在常务委员会会议第一次审议后将地方性法规草案及其起草、修改的说明等通过枣庄日报、枣庄市人大门户网站等向社会公布，征求意见，但是经常务委员会主任会议决定不公布的除外。</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征求意见可以采取实地调研，委托社情民意调查机构调查等多种形式进行。</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第三十三条</w:t>
      </w:r>
      <w:r>
        <w:rPr>
          <w:rFonts w:hint="eastAsia" w:ascii="仿宋_GB2312"/>
          <w:szCs w:val="32"/>
        </w:rPr>
        <w:t>　列入常务委员会会议议程的地方性法规案，常务委员会工作机构应当收集整理分组审议的意见和各方面提出的意见以及其他有关资料，分送法制委员会和有关的专门委员会，并根据需要，印发常务委员会会议。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第三十四条</w:t>
      </w:r>
      <w:r>
        <w:rPr>
          <w:rFonts w:hint="eastAsia" w:ascii="仿宋_GB2312"/>
          <w:szCs w:val="32"/>
        </w:rPr>
        <w:t>　拟提请常务委员会会议审议通过的地方性法规案，在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第三十五条</w:t>
      </w:r>
      <w:r>
        <w:rPr>
          <w:rFonts w:hint="eastAsia" w:ascii="仿宋_GB2312"/>
          <w:szCs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第三十六条</w:t>
      </w:r>
      <w:r>
        <w:rPr>
          <w:rFonts w:hint="eastAsia" w:ascii="仿宋_GB2312"/>
          <w:szCs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第三十七条</w:t>
      </w:r>
      <w:r>
        <w:rPr>
          <w:rFonts w:hint="eastAsia" w:ascii="仿宋_GB231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第三十八条</w:t>
      </w:r>
      <w:r>
        <w:rPr>
          <w:rFonts w:hint="eastAsia" w:ascii="仿宋_GB2312"/>
          <w:szCs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eastAsia="黑体"/>
          <w:szCs w:val="32"/>
        </w:rPr>
      </w:pPr>
      <w:r>
        <w:rPr>
          <w:rFonts w:hint="eastAsia" w:ascii="黑体" w:eastAsia="黑体"/>
          <w:szCs w:val="32"/>
        </w:rPr>
        <w:t>第四章　地方性法规的报批和公布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第三十九条</w:t>
      </w:r>
      <w:r>
        <w:rPr>
          <w:rFonts w:hint="eastAsia" w:ascii="仿宋_GB2312"/>
          <w:szCs w:val="32"/>
        </w:rPr>
        <w:t>　市人民代表大会及其常务委员会通过的地方性法规，由市人民代表大会常务委员会报请省人民代表大会常务委员会批准。</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第四十条</w:t>
      </w:r>
      <w:r>
        <w:rPr>
          <w:rFonts w:hint="eastAsia" w:ascii="仿宋_GB2312"/>
          <w:szCs w:val="32"/>
        </w:rPr>
        <w:t>　地方性法规经省人民代表大会常务委员会批准后，由市人民代表大会常务委员会发布公告予以公布。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第四十一条</w:t>
      </w:r>
      <w:r>
        <w:rPr>
          <w:rFonts w:hint="eastAsia" w:ascii="仿宋_GB2312"/>
          <w:szCs w:val="32"/>
        </w:rPr>
        <w:t>　地方性法规批准后，枣庄市人民代表大会常务委员会公报、枣庄日报以及枣庄市人大门户网站应当及时刊载。</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在常务委员会公报上刊登的地方性法规文本为标准文本。</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第四十二条</w:t>
      </w:r>
      <w:r>
        <w:rPr>
          <w:rFonts w:hint="eastAsia" w:ascii="仿宋_GB2312"/>
          <w:szCs w:val="32"/>
        </w:rPr>
        <w:t>　地方性法规被修改的，经省人民代表大会常务委员会批准后，应当公布新的地方性法规文本。</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地方性法规被废止的，经省人民代表大会常务委员会批准后，除由其他地方性法规规定废止该法规的以外，由市人民代表大会常务委员会发布公告予以公布。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第四十三条</w:t>
      </w:r>
      <w:r>
        <w:rPr>
          <w:rFonts w:hint="eastAsia" w:ascii="仿宋_GB2312"/>
          <w:szCs w:val="32"/>
        </w:rPr>
        <w:t>　地方性法规标题的题注应当载明制定机关、通过日期。经过修改的地方性法规，应当依次载明修改机关、修改日期。</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eastAsia="黑体"/>
          <w:szCs w:val="32"/>
        </w:rPr>
      </w:pPr>
      <w:r>
        <w:rPr>
          <w:rFonts w:hint="eastAsia" w:ascii="黑体" w:eastAsia="黑体"/>
          <w:szCs w:val="32"/>
        </w:rPr>
        <w:t>第五章　地方性法规的解释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第四十四条</w:t>
      </w:r>
      <w:r>
        <w:rPr>
          <w:rFonts w:hint="eastAsia" w:ascii="仿宋_GB2312"/>
          <w:szCs w:val="32"/>
        </w:rPr>
        <w:t>　地方性法规解释权属于市人民代表大会常务委员会。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地方性法规有以下情况之一的，由市人民代表大会常务委员会解释：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（一）地方性法规的规定需要进一步明确具体含义的；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第四十五条</w:t>
      </w:r>
      <w:r>
        <w:rPr>
          <w:rFonts w:hint="eastAsia" w:ascii="仿宋_GB2312"/>
          <w:szCs w:val="32"/>
        </w:rPr>
        <w:t>　市人民政府、市中级人民法院、市人民检察院和市人民代表大会各专门委员会、区（市）人民代表大会常务委员会可以向市人民代表大会常务委员会提出地方性法规解释要求。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第四十六条</w:t>
      </w:r>
      <w:r>
        <w:rPr>
          <w:rFonts w:hint="eastAsia" w:ascii="仿宋_GB2312"/>
          <w:szCs w:val="32"/>
        </w:rPr>
        <w:t>　常务委员会法制工作机构研究拟订地方性法规解释草案，由主任会议决定列入常务委员会会议议程。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第四十七条</w:t>
      </w:r>
      <w:r>
        <w:rPr>
          <w:rFonts w:hint="eastAsia" w:ascii="仿宋_GB2312"/>
          <w:szCs w:val="32"/>
        </w:rPr>
        <w:t>　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第四十八条</w:t>
      </w:r>
      <w:r>
        <w:rPr>
          <w:rFonts w:hint="eastAsia" w:ascii="仿宋_GB2312"/>
          <w:szCs w:val="32"/>
        </w:rPr>
        <w:t>　地方性法规解释草案表决稿由常务委员会全体组成人员的过半数通过。</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第四十九条</w:t>
      </w:r>
      <w:r>
        <w:rPr>
          <w:rFonts w:hint="eastAsia" w:ascii="仿宋_GB2312"/>
          <w:szCs w:val="32"/>
        </w:rPr>
        <w:t>　市人民代表大会常务委员会通过的地方性法规解释，报省人民代表大会常务委员会批准后，由市人民代表大会常务委员会发布公告予以公布。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第五十条</w:t>
      </w:r>
      <w:r>
        <w:rPr>
          <w:rFonts w:hint="eastAsia" w:ascii="仿宋_GB2312"/>
          <w:szCs w:val="32"/>
        </w:rPr>
        <w:t>　市人民代表大会常务委员会的地方性法规解释同地方性法规具有同等效力。</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eastAsia="黑体"/>
          <w:szCs w:val="32"/>
        </w:rPr>
      </w:pPr>
      <w:r>
        <w:rPr>
          <w:rFonts w:hint="eastAsia" w:ascii="黑体" w:eastAsia="黑体"/>
          <w:szCs w:val="32"/>
        </w:rPr>
        <w:t>第六章　其他规定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第五十一条</w:t>
      </w:r>
      <w:r>
        <w:rPr>
          <w:rFonts w:hint="eastAsia" w:ascii="仿宋_GB2312"/>
          <w:szCs w:val="32"/>
        </w:rPr>
        <w:t>　市人民代表大会常务委员会通过立法规划、年度立法计划等形式，加强对地方立法工作的统筹安排。编制立法规划和年度立法计划，应当认真研究代表议案和建议，广泛征集意见，科学论证评估，根据经济社会发展和民主法治建设的需要，确定立法项目，提高立法的及时性、针对性和系统性。立法规划和年度立法计划由常务委员会主任会议通过并向社会公布。</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市人民代表大会常务委员会法制工作机构负责编制立法规划和拟订年度立法计划，并按照市人民代表大会常务委员会的要求，督促立法规划和年度立法计划的落实。</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第五十二条</w:t>
      </w:r>
      <w:r>
        <w:rPr>
          <w:rFonts w:hint="eastAsia" w:ascii="仿宋_GB2312"/>
          <w:szCs w:val="32"/>
        </w:rPr>
        <w:t>　市人民代表大会有关的专门委员会、常务委员会工作机构应当提前参与有关方面的法规草案起草工作；综合性、全局性、基础性的重要地方性法规草案，可以由有关的专门委员会、常务委员会工作机构组织起草。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专业性较强的地方性法规草案，可以吸收相关领域的专家学者参与起草工作，或者委托第三方起草。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第五十三条</w:t>
      </w:r>
      <w:r>
        <w:rPr>
          <w:rFonts w:hint="eastAsia" w:ascii="仿宋_GB2312"/>
          <w:szCs w:val="32"/>
        </w:rPr>
        <w:t>　任何单位和个人可以向市人民代表大会及其常务委员会书面提出制定、修改或者废止地方性法规的建议项目。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提出制定或者修改地方性法规建议项目，应当同时提交建议书，建议书的内容主要包括名称、必要性，需要解决的主要问题以及可行性等。</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第五十四条</w:t>
      </w:r>
      <w:r>
        <w:rPr>
          <w:rFonts w:hint="eastAsia" w:ascii="仿宋_GB2312"/>
          <w:szCs w:val="32"/>
        </w:rPr>
        <w:t>　提出地方性法规案，应当同时提出地方性法规草案文本及其说明，并提供必要的参阅资料。修改地方性法规的，还应当提交修改前后的对照文本。废止地方性法规的应当说明理由。</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第五十五条</w:t>
      </w:r>
      <w:r>
        <w:rPr>
          <w:rFonts w:hint="eastAsia" w:ascii="仿宋_GB2312"/>
          <w:szCs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第五十六条</w:t>
      </w:r>
      <w:r>
        <w:rPr>
          <w:rFonts w:hint="eastAsia" w:ascii="仿宋_GB2312"/>
          <w:szCs w:val="32"/>
        </w:rPr>
        <w:t>　交付市人民代表大会及其常务委员会全体会议表决未获得通过的地方性法规案，如果提案人认为必须制定该地方性法规，可以按照本条例规定的程序重新提出，由主席团、常务委员会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第五十七条</w:t>
      </w:r>
      <w:r>
        <w:rPr>
          <w:rFonts w:hint="eastAsia" w:ascii="仿宋_GB2312"/>
          <w:szCs w:val="32"/>
        </w:rPr>
        <w:t>　地方性法规应当明确规定施行日期。</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第五十八条</w:t>
      </w:r>
      <w:r>
        <w:rPr>
          <w:rFonts w:hint="eastAsia" w:ascii="仿宋_GB2312"/>
          <w:szCs w:val="32"/>
        </w:rPr>
        <w:t>　地方性法规的修改和废止程序，适用本条例的有关规定。</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第五十九条</w:t>
      </w:r>
      <w:r>
        <w:rPr>
          <w:rFonts w:hint="eastAsia" w:ascii="仿宋_GB2312"/>
          <w:szCs w:val="32"/>
        </w:rPr>
        <w:t>　地方性法规草案与本市其他地方性法规相关规定不一致的，提案人应当予以说明并提出处理意见，必要时应当同时提出修改或者废止其他地方性法规相关规定的议案。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仿宋_GB2312"/>
          <w:szCs w:val="32"/>
        </w:rPr>
        <w:t>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第六十条</w:t>
      </w:r>
      <w:r>
        <w:rPr>
          <w:rFonts w:hint="eastAsia" w:ascii="仿宋_GB2312"/>
          <w:szCs w:val="32"/>
        </w:rPr>
        <w:t>　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第六十一条</w:t>
      </w:r>
      <w:r>
        <w:rPr>
          <w:rFonts w:hint="eastAsia" w:ascii="仿宋_GB2312"/>
          <w:szCs w:val="32"/>
        </w:rPr>
        <w:t>　市人民代表大会有关的专门委员会、常务委员会工作机构可以组织对有关地方性法规或者地方性法规中的有关规定进行立法后评估。评估情况应当向常务委员会报告。</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第六十二条</w:t>
      </w:r>
      <w:r>
        <w:rPr>
          <w:rFonts w:hint="eastAsia" w:ascii="仿宋_GB2312"/>
          <w:szCs w:val="32"/>
        </w:rPr>
        <w:t>　地方性法规施行满一年的，负责法规实施的单位应当向常务委员会书面报告地方性法规的实施情况。</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第六十三条</w:t>
      </w:r>
      <w:r>
        <w:rPr>
          <w:rFonts w:hint="eastAsia" w:ascii="仿宋_GB2312"/>
          <w:szCs w:val="32"/>
        </w:rPr>
        <w:t>　市人民代表大会常务委员会法制工作机构可以对有关具体问题的地方性法规询问进行研究予以答复，并报常务委员会备案。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jc w:val="center"/>
        <w:textAlignment w:val="auto"/>
        <w:rPr>
          <w:rFonts w:hint="eastAsia" w:ascii="黑体" w:eastAsia="黑体"/>
          <w:szCs w:val="32"/>
        </w:rPr>
      </w:pPr>
      <w:r>
        <w:rPr>
          <w:rFonts w:hint="eastAsia" w:ascii="黑体" w:eastAsia="黑体"/>
          <w:szCs w:val="32"/>
        </w:rPr>
        <w:t>第七章　附</w:t>
      </w:r>
      <w:bookmarkStart w:id="0" w:name="_GoBack"/>
      <w:bookmarkEnd w:id="0"/>
      <w:r>
        <w:rPr>
          <w:rFonts w:hint="eastAsia" w:ascii="黑体" w:eastAsia="黑体"/>
          <w:szCs w:val="32"/>
        </w:rPr>
        <w:t>则</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rPr>
          <w:rFonts w:hint="eastAsia" w:ascii="仿宋_GB2312"/>
          <w:szCs w:val="32"/>
        </w:rPr>
      </w:pPr>
      <w:r>
        <w:rPr>
          <w:rFonts w:hint="eastAsia" w:ascii="黑体" w:eastAsia="黑体"/>
          <w:szCs w:val="32"/>
        </w:rPr>
        <w:t>第六十四条</w:t>
      </w:r>
      <w:r>
        <w:rPr>
          <w:rFonts w:hint="eastAsia" w:ascii="仿宋_GB2312"/>
          <w:szCs w:val="32"/>
        </w:rPr>
        <w:t>　本条例自公布之日起施行。</w:t>
      </w:r>
    </w:p>
    <w:p>
      <w:pPr>
        <w:keepNext w:val="0"/>
        <w:keepLines w:val="0"/>
        <w:pageBreakBefore w:val="0"/>
        <w:widowControl w:val="0"/>
        <w:kinsoku/>
        <w:wordWrap/>
        <w:overflowPunct/>
        <w:topLinePunct w:val="0"/>
        <w:autoSpaceDE/>
        <w:autoSpaceDN/>
        <w:bidi w:val="0"/>
        <w:spacing w:line="560" w:lineRule="exact"/>
        <w:textAlignment w:val="auto"/>
      </w:pPr>
    </w:p>
    <w:sectPr>
      <w:footerReference r:id="rId3" w:type="default"/>
      <w:footerReference r:id="rId4" w:type="even"/>
      <w:pgSz w:w="11906" w:h="16838"/>
      <w:pgMar w:top="2154" w:right="1531" w:bottom="1814" w:left="1531" w:header="851" w:footer="1531" w:gutter="0"/>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汉仪大宋简">
    <w:altName w:val="宋体"/>
    <w:panose1 w:val="02010609000101010101"/>
    <w:charset w:val="86"/>
    <w:family w:val="modern"/>
    <w:pitch w:val="default"/>
    <w:sig w:usb0="00000000" w:usb1="00000000" w:usb2="00000012"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方正小标宋简体">
    <w:altName w:val="微软雅黑"/>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- 2 -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9C4F7D"/>
    <w:rsid w:val="239C4F7D"/>
    <w:rsid w:val="74EA1F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2017-04-28T02:02:00Z</dcterms:created>
  <dc:creator>Administrator</dc:creator>
  <cp:lastModifiedBy>Administrator</cp:lastModifiedBy>
  <dcterms:modified xsi:type="dcterms:W3CDTF">2017-04-28T06:53:08Z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