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560" w:lineRule="exact"/>
        <w:jc w:val="center"/>
        <w:outlineLvl w:val="1"/>
        <w:rPr>
          <w:rFonts w:ascii="宋体" w:hAnsi="宋体" w:eastAsia="宋体" w:cs="宋体"/>
          <w:bCs/>
          <w:color w:val="000000"/>
        </w:rPr>
      </w:pPr>
    </w:p>
    <w:p>
      <w:pPr>
        <w:shd w:val="clear" w:color="auto" w:fill="FFFFFF"/>
        <w:spacing w:line="560" w:lineRule="exact"/>
        <w:jc w:val="center"/>
        <w:outlineLvl w:val="1"/>
        <w:rPr>
          <w:rFonts w:ascii="宋体" w:hAnsi="宋体" w:eastAsia="宋体" w:cs="宋体"/>
          <w:bCs/>
          <w:color w:val="000000"/>
        </w:rPr>
      </w:pPr>
      <w:bookmarkStart w:id="0" w:name="_GoBack"/>
      <w:bookmarkEnd w:id="0"/>
    </w:p>
    <w:p>
      <w:pPr>
        <w:shd w:val="clear" w:color="auto" w:fill="FFFFFF"/>
        <w:spacing w:line="560" w:lineRule="exact"/>
        <w:jc w:val="center"/>
        <w:outlineLvl w:val="1"/>
        <w:rPr>
          <w:rFonts w:ascii="宋体" w:hAnsi="宋体" w:eastAsia="宋体" w:cs="宋体"/>
          <w:bCs/>
          <w:color w:val="000000"/>
          <w:sz w:val="44"/>
          <w:szCs w:val="44"/>
        </w:rPr>
      </w:pPr>
      <w:r>
        <w:rPr>
          <w:rFonts w:hint="eastAsia" w:ascii="宋体" w:hAnsi="宋体" w:eastAsia="宋体" w:cs="宋体"/>
          <w:bCs/>
          <w:color w:val="000000"/>
          <w:sz w:val="44"/>
          <w:szCs w:val="44"/>
        </w:rPr>
        <w:t>枣庄市烟花爆竹燃放管理条例</w:t>
      </w:r>
    </w:p>
    <w:p>
      <w:pPr>
        <w:pStyle w:val="2"/>
        <w:spacing w:after="0" w:line="540" w:lineRule="exact"/>
        <w:ind w:left="640"/>
      </w:pPr>
    </w:p>
    <w:p>
      <w:pPr>
        <w:shd w:val="clear" w:color="auto" w:fill="FFFFFF"/>
        <w:spacing w:line="560" w:lineRule="exact"/>
        <w:ind w:left="707" w:leftChars="221" w:right="480" w:rightChars="150"/>
        <w:jc w:val="left"/>
        <w:outlineLvl w:val="1"/>
        <w:rPr>
          <w:rFonts w:ascii="楷体_GB2312" w:hAnsi="楷体_GB2312" w:eastAsia="楷体_GB2312" w:cs="楷体_GB2312"/>
          <w:bCs/>
          <w:color w:val="000000"/>
        </w:rPr>
      </w:pPr>
      <w:r>
        <w:rPr>
          <w:rFonts w:hint="eastAsia" w:ascii="楷体_GB2312" w:hAnsi="楷体_GB2312" w:eastAsia="楷体_GB2312" w:cs="楷体_GB2312"/>
          <w:bCs/>
          <w:color w:val="000000"/>
        </w:rPr>
        <w:t>（</w:t>
      </w:r>
      <w:r>
        <w:rPr>
          <w:rFonts w:hint="eastAsia" w:ascii="楷体_GB2312" w:hAnsi="黑体" w:eastAsia="楷体_GB2312" w:cs="楷体_GB2312"/>
          <w:bCs/>
          <w:color w:val="000000"/>
        </w:rPr>
        <w:t>2022年11月12日枣庄市第十七届人民代表大会常务委员会第七次会议通过  2022年12月21日山东省第十三届人民代表大会常务委员会第三十九次会议批准</w:t>
      </w:r>
      <w:r>
        <w:rPr>
          <w:rFonts w:hint="eastAsia" w:ascii="楷体_GB2312" w:hAnsi="楷体_GB2312" w:eastAsia="楷体_GB2312" w:cs="楷体_GB2312"/>
          <w:bCs/>
          <w:color w:val="000000"/>
        </w:rPr>
        <w:t>）</w:t>
      </w:r>
    </w:p>
    <w:p>
      <w:pPr>
        <w:pStyle w:val="6"/>
        <w:widowControl w:val="0"/>
        <w:spacing w:before="0" w:beforeAutospacing="0" w:after="0" w:afterAutospacing="0" w:line="560" w:lineRule="exact"/>
        <w:ind w:firstLine="645"/>
        <w:jc w:val="both"/>
        <w:rPr>
          <w:sz w:val="32"/>
          <w:szCs w:val="32"/>
        </w:rPr>
      </w:pPr>
    </w:p>
    <w:p>
      <w:pPr>
        <w:overflowPunct w:val="0"/>
        <w:spacing w:line="580" w:lineRule="exact"/>
        <w:ind w:firstLine="640" w:firstLineChars="200"/>
        <w:rPr>
          <w:rFonts w:eastAsia="方正仿宋_GBK"/>
          <w:snapToGrid/>
          <w:kern w:val="2"/>
        </w:rPr>
      </w:pPr>
      <w:r>
        <w:rPr>
          <w:rFonts w:eastAsia="黑体"/>
          <w:snapToGrid/>
          <w:kern w:val="2"/>
          <w:lang w:bidi="ar"/>
        </w:rPr>
        <w:t>第一条</w:t>
      </w:r>
      <w:r>
        <w:rPr>
          <w:rFonts w:eastAsia="方正仿宋_GBK"/>
          <w:snapToGrid/>
          <w:kern w:val="2"/>
          <w:lang w:bidi="ar"/>
        </w:rPr>
        <w:t xml:space="preserve">  </w:t>
      </w:r>
      <w:r>
        <w:rPr>
          <w:rFonts w:hint="eastAsia"/>
          <w:snapToGrid/>
          <w:kern w:val="2"/>
          <w:lang w:bidi="ar"/>
        </w:rPr>
        <w:t>为了加强烟花爆竹燃放管理，保障公</w:t>
      </w:r>
      <w:r>
        <w:rPr>
          <w:snapToGrid/>
          <w:kern w:val="2"/>
          <w:lang w:bidi="ar"/>
        </w:rPr>
        <w:t>共安全和人身、财产安全，</w:t>
      </w:r>
      <w:r>
        <w:rPr>
          <w:rFonts w:hint="eastAsia"/>
          <w:snapToGrid/>
          <w:kern w:val="2"/>
          <w:lang w:bidi="ar"/>
        </w:rPr>
        <w:t>改善</w:t>
      </w:r>
      <w:r>
        <w:rPr>
          <w:snapToGrid/>
          <w:kern w:val="2"/>
          <w:lang w:bidi="ar"/>
        </w:rPr>
        <w:t>环境</w:t>
      </w:r>
      <w:r>
        <w:rPr>
          <w:rFonts w:hint="eastAsia"/>
          <w:snapToGrid/>
          <w:kern w:val="2"/>
          <w:lang w:bidi="ar"/>
        </w:rPr>
        <w:t>质量</w:t>
      </w:r>
      <w:r>
        <w:rPr>
          <w:snapToGrid/>
          <w:kern w:val="2"/>
          <w:lang w:bidi="ar"/>
        </w:rPr>
        <w:t>，根据《中华人民共和国大气污染防治法》《烟花爆竹安全管理条例》等</w:t>
      </w:r>
      <w:r>
        <w:rPr>
          <w:rFonts w:hint="eastAsia"/>
          <w:snapToGrid/>
          <w:kern w:val="2"/>
          <w:lang w:bidi="ar"/>
        </w:rPr>
        <w:t>有关</w:t>
      </w:r>
      <w:r>
        <w:rPr>
          <w:snapToGrid/>
          <w:kern w:val="2"/>
          <w:lang w:bidi="ar"/>
        </w:rPr>
        <w:t>法律</w:t>
      </w:r>
      <w:r>
        <w:rPr>
          <w:rFonts w:hint="eastAsia"/>
          <w:snapToGrid/>
          <w:kern w:val="2"/>
          <w:lang w:bidi="ar"/>
        </w:rPr>
        <w:t>、</w:t>
      </w:r>
      <w:r>
        <w:rPr>
          <w:snapToGrid/>
          <w:kern w:val="2"/>
          <w:lang w:bidi="ar"/>
        </w:rPr>
        <w:t>法规，结合本市实际，制定本条例。</w:t>
      </w:r>
    </w:p>
    <w:p>
      <w:pPr>
        <w:overflowPunct w:val="0"/>
        <w:spacing w:line="580" w:lineRule="exact"/>
        <w:ind w:firstLine="640" w:firstLineChars="200"/>
        <w:rPr>
          <w:rFonts w:eastAsia="方正仿宋_GBK"/>
          <w:snapToGrid/>
          <w:kern w:val="2"/>
        </w:rPr>
      </w:pPr>
      <w:r>
        <w:rPr>
          <w:snapToGrid/>
          <w:kern w:val="2"/>
          <w:lang w:bidi="ar"/>
        </w:rPr>
        <w:t>本条例</w:t>
      </w:r>
      <w:r>
        <w:rPr>
          <w:rFonts w:hint="eastAsia"/>
          <w:snapToGrid/>
          <w:kern w:val="2"/>
          <w:lang w:bidi="ar"/>
        </w:rPr>
        <w:t>适用于</w:t>
      </w:r>
      <w:r>
        <w:rPr>
          <w:snapToGrid/>
          <w:kern w:val="2"/>
          <w:lang w:bidi="ar"/>
        </w:rPr>
        <w:t>本市行政区域内烟花爆竹的燃放及其管理活动。</w:t>
      </w:r>
      <w:r>
        <w:rPr>
          <w:rFonts w:eastAsia="方正仿宋_GBK"/>
          <w:snapToGrid/>
          <w:kern w:val="2"/>
          <w:lang w:bidi="ar"/>
        </w:rPr>
        <w:t xml:space="preserve"> </w:t>
      </w:r>
    </w:p>
    <w:p>
      <w:pPr>
        <w:overflowPunct w:val="0"/>
        <w:spacing w:line="580" w:lineRule="exact"/>
        <w:ind w:firstLine="640" w:firstLineChars="200"/>
        <w:rPr>
          <w:snapToGrid/>
          <w:kern w:val="2"/>
          <w:lang w:bidi="ar"/>
        </w:rPr>
      </w:pPr>
      <w:r>
        <w:rPr>
          <w:rFonts w:eastAsia="黑体"/>
          <w:snapToGrid/>
          <w:kern w:val="2"/>
          <w:lang w:bidi="ar"/>
        </w:rPr>
        <w:t>第</w:t>
      </w:r>
      <w:r>
        <w:rPr>
          <w:rFonts w:hint="eastAsia" w:eastAsia="黑体"/>
          <w:snapToGrid/>
          <w:kern w:val="2"/>
          <w:lang w:bidi="ar"/>
        </w:rPr>
        <w:t>二</w:t>
      </w:r>
      <w:r>
        <w:rPr>
          <w:rFonts w:eastAsia="黑体"/>
          <w:snapToGrid/>
          <w:kern w:val="2"/>
          <w:lang w:bidi="ar"/>
        </w:rPr>
        <w:t>条</w:t>
      </w:r>
      <w:r>
        <w:rPr>
          <w:rFonts w:eastAsia="方正仿宋_GBK"/>
          <w:snapToGrid/>
          <w:kern w:val="2"/>
          <w:lang w:bidi="ar"/>
        </w:rPr>
        <w:t xml:space="preserve">  </w:t>
      </w:r>
      <w:r>
        <w:rPr>
          <w:snapToGrid/>
          <w:kern w:val="2"/>
          <w:lang w:bidi="ar"/>
        </w:rPr>
        <w:t>市、区（市）人民政府应当加强对烟花爆竹燃放管理工作的组织领导，</w:t>
      </w:r>
      <w:r>
        <w:rPr>
          <w:rFonts w:hint="eastAsia"/>
          <w:snapToGrid/>
          <w:kern w:val="2"/>
          <w:lang w:bidi="ar"/>
        </w:rPr>
        <w:t>建立联席会议制度，</w:t>
      </w:r>
      <w:r>
        <w:rPr>
          <w:snapToGrid/>
          <w:kern w:val="2"/>
          <w:lang w:bidi="ar"/>
        </w:rPr>
        <w:t>统筹协调烟花爆竹燃放管理</w:t>
      </w:r>
      <w:r>
        <w:rPr>
          <w:rFonts w:hint="eastAsia"/>
          <w:snapToGrid/>
          <w:kern w:val="2"/>
          <w:lang w:bidi="ar"/>
        </w:rPr>
        <w:t>相关重大事项</w:t>
      </w:r>
      <w:r>
        <w:rPr>
          <w:snapToGrid/>
          <w:kern w:val="2"/>
          <w:lang w:bidi="ar"/>
        </w:rPr>
        <w:t>。</w:t>
      </w:r>
    </w:p>
    <w:p>
      <w:pPr>
        <w:overflowPunct w:val="0"/>
        <w:spacing w:line="580" w:lineRule="exact"/>
        <w:ind w:firstLine="640" w:firstLineChars="200"/>
        <w:rPr>
          <w:snapToGrid/>
          <w:kern w:val="2"/>
          <w:lang w:bidi="ar"/>
        </w:rPr>
      </w:pPr>
      <w:r>
        <w:rPr>
          <w:snapToGrid/>
          <w:kern w:val="2"/>
          <w:lang w:bidi="ar"/>
        </w:rPr>
        <w:t>公安机关负责烟花爆竹燃放的公共安全管理。应急管理部门负责烟花爆竹的安全生产监督管理。生态环境、</w:t>
      </w:r>
      <w:r>
        <w:rPr>
          <w:rFonts w:hint="eastAsia"/>
          <w:snapToGrid/>
          <w:kern w:val="2"/>
          <w:lang w:bidi="ar"/>
        </w:rPr>
        <w:t>城市管理、审批服务、</w:t>
      </w:r>
      <w:r>
        <w:rPr>
          <w:snapToGrid/>
          <w:kern w:val="2"/>
          <w:lang w:bidi="ar"/>
        </w:rPr>
        <w:t>市场监管、交通运输</w:t>
      </w:r>
      <w:r>
        <w:rPr>
          <w:rFonts w:hint="eastAsia"/>
          <w:snapToGrid/>
          <w:kern w:val="2"/>
          <w:lang w:bidi="ar"/>
        </w:rPr>
        <w:t>、商务、民政、教育</w:t>
      </w:r>
      <w:r>
        <w:rPr>
          <w:snapToGrid/>
          <w:kern w:val="2"/>
          <w:lang w:bidi="ar"/>
        </w:rPr>
        <w:t>等部门按照各自职责，共</w:t>
      </w:r>
      <w:r>
        <w:rPr>
          <w:rFonts w:hint="eastAsia" w:ascii="仿宋_GB2312" w:hAnsi="仿宋_GB2312" w:cs="仿宋_GB2312"/>
          <w:snapToGrid/>
          <w:kern w:val="2"/>
          <w:lang w:bidi="ar"/>
        </w:rPr>
        <w:t>同做好</w:t>
      </w:r>
      <w:r>
        <w:rPr>
          <w:rFonts w:hint="eastAsia" w:ascii="仿宋_GB2312" w:hAnsi="仿宋_GB2312" w:cs="仿宋_GB2312"/>
          <w:snapToGrid/>
          <w:shd w:val="clear" w:color="auto" w:fill="FFFFFF"/>
        </w:rPr>
        <w:t>烟花爆竹燃放</w:t>
      </w:r>
      <w:r>
        <w:rPr>
          <w:rFonts w:hint="eastAsia" w:ascii="仿宋_GB2312" w:hAnsi="仿宋_GB2312" w:cs="仿宋_GB2312"/>
          <w:snapToGrid/>
          <w:kern w:val="2"/>
          <w:lang w:bidi="ar"/>
        </w:rPr>
        <w:t>管理相</w:t>
      </w:r>
      <w:r>
        <w:rPr>
          <w:snapToGrid/>
          <w:kern w:val="2"/>
          <w:lang w:bidi="ar"/>
        </w:rPr>
        <w:t>关工作。</w:t>
      </w:r>
    </w:p>
    <w:p>
      <w:pPr>
        <w:overflowPunct w:val="0"/>
        <w:spacing w:line="580" w:lineRule="exact"/>
        <w:ind w:firstLine="640" w:firstLineChars="200"/>
        <w:rPr>
          <w:snapToGrid/>
          <w:kern w:val="2"/>
          <w:lang w:bidi="ar"/>
        </w:rPr>
      </w:pPr>
      <w:r>
        <w:rPr>
          <w:snapToGrid/>
          <w:kern w:val="2"/>
          <w:lang w:bidi="ar"/>
        </w:rPr>
        <w:t>镇人民政府、街道办事处应当将烟花爆竹燃放管理纳入基层社会治理工作，加强组织协调</w:t>
      </w:r>
      <w:r>
        <w:rPr>
          <w:rFonts w:hint="eastAsia"/>
          <w:snapToGrid/>
          <w:kern w:val="2"/>
          <w:lang w:bidi="ar"/>
        </w:rPr>
        <w:t>和</w:t>
      </w:r>
      <w:r>
        <w:rPr>
          <w:snapToGrid/>
          <w:kern w:val="2"/>
          <w:lang w:bidi="ar"/>
        </w:rPr>
        <w:t>指导监督</w:t>
      </w:r>
      <w:r>
        <w:rPr>
          <w:rFonts w:hint="eastAsia"/>
          <w:snapToGrid/>
          <w:kern w:val="2"/>
          <w:lang w:bidi="ar"/>
        </w:rPr>
        <w:t>。</w:t>
      </w:r>
    </w:p>
    <w:p>
      <w:pPr>
        <w:shd w:val="clear" w:color="auto" w:fill="FFFFFF"/>
        <w:overflowPunct w:val="0"/>
        <w:spacing w:line="580" w:lineRule="exact"/>
        <w:ind w:firstLine="640" w:firstLineChars="200"/>
        <w:rPr>
          <w:snapToGrid/>
          <w:kern w:val="2"/>
          <w:lang w:bidi="ar"/>
        </w:rPr>
      </w:pPr>
      <w:r>
        <w:rPr>
          <w:snapToGrid/>
          <w:kern w:val="2"/>
          <w:lang w:bidi="ar"/>
        </w:rPr>
        <w:t>居民委员会、村民委员会、物业服务企业应当协助做好烟花爆竹燃放管理</w:t>
      </w:r>
      <w:r>
        <w:rPr>
          <w:rFonts w:hint="eastAsia"/>
          <w:snapToGrid/>
          <w:kern w:val="2"/>
          <w:lang w:bidi="ar"/>
        </w:rPr>
        <w:t>相</w:t>
      </w:r>
      <w:r>
        <w:rPr>
          <w:snapToGrid/>
          <w:kern w:val="2"/>
          <w:lang w:bidi="ar"/>
        </w:rPr>
        <w:t>关工作，加强对居民、村民、业主的宣传、引导。</w:t>
      </w:r>
    </w:p>
    <w:p>
      <w:pPr>
        <w:overflowPunct w:val="0"/>
        <w:spacing w:line="580" w:lineRule="exact"/>
        <w:ind w:firstLine="640" w:firstLineChars="200"/>
        <w:rPr>
          <w:snapToGrid/>
          <w:kern w:val="2"/>
          <w:lang w:bidi="ar"/>
        </w:rPr>
      </w:pPr>
      <w:r>
        <w:rPr>
          <w:rFonts w:hint="eastAsia" w:eastAsia="黑体"/>
          <w:snapToGrid/>
          <w:kern w:val="2"/>
          <w:lang w:bidi="ar"/>
        </w:rPr>
        <w:t xml:space="preserve">第三条  </w:t>
      </w:r>
      <w:r>
        <w:rPr>
          <w:rFonts w:hint="eastAsia"/>
          <w:snapToGrid/>
          <w:kern w:val="2"/>
          <w:lang w:bidi="ar"/>
        </w:rPr>
        <w:t>市、</w:t>
      </w:r>
      <w:r>
        <w:rPr>
          <w:snapToGrid/>
          <w:kern w:val="2"/>
          <w:lang w:bidi="ar"/>
        </w:rPr>
        <w:t>区（市）人民政府</w:t>
      </w:r>
      <w:r>
        <w:rPr>
          <w:rFonts w:hint="eastAsia"/>
          <w:snapToGrid/>
          <w:kern w:val="2"/>
          <w:lang w:bidi="ar"/>
        </w:rPr>
        <w:t>按照以下方式</w:t>
      </w:r>
      <w:r>
        <w:rPr>
          <w:snapToGrid/>
          <w:kern w:val="2"/>
          <w:lang w:bidi="ar"/>
        </w:rPr>
        <w:t>划定</w:t>
      </w:r>
      <w:r>
        <w:rPr>
          <w:rFonts w:hint="eastAsia"/>
          <w:snapToGrid/>
          <w:kern w:val="2"/>
          <w:lang w:bidi="ar"/>
        </w:rPr>
        <w:t>的</w:t>
      </w:r>
      <w:r>
        <w:rPr>
          <w:snapToGrid/>
          <w:kern w:val="2"/>
          <w:lang w:bidi="ar"/>
        </w:rPr>
        <w:t>区域禁止燃放烟花爆竹：</w:t>
      </w:r>
    </w:p>
    <w:p>
      <w:pPr>
        <w:overflowPunct w:val="0"/>
        <w:spacing w:line="580" w:lineRule="exact"/>
        <w:ind w:firstLine="640" w:firstLineChars="200"/>
        <w:rPr>
          <w:snapToGrid/>
          <w:kern w:val="2"/>
          <w:lang w:bidi="ar"/>
        </w:rPr>
      </w:pPr>
      <w:r>
        <w:rPr>
          <w:snapToGrid/>
          <w:kern w:val="2"/>
          <w:lang w:bidi="ar"/>
        </w:rPr>
        <w:t>（一）市人民政府划定</w:t>
      </w:r>
      <w:r>
        <w:rPr>
          <w:rFonts w:hint="eastAsia"/>
          <w:snapToGrid/>
          <w:kern w:val="2"/>
          <w:lang w:bidi="ar"/>
        </w:rPr>
        <w:t>枣庄</w:t>
      </w:r>
      <w:r>
        <w:rPr>
          <w:snapToGrid/>
          <w:kern w:val="2"/>
          <w:lang w:bidi="ar"/>
        </w:rPr>
        <w:t>高新区禁止燃放烟花爆竹的区域并向社会公告；</w:t>
      </w:r>
    </w:p>
    <w:p>
      <w:pPr>
        <w:overflowPunct w:val="0"/>
        <w:spacing w:line="580" w:lineRule="exact"/>
        <w:ind w:firstLine="640" w:firstLineChars="200"/>
        <w:rPr>
          <w:snapToGrid/>
          <w:kern w:val="2"/>
          <w:lang w:bidi="ar"/>
        </w:rPr>
      </w:pPr>
      <w:r>
        <w:rPr>
          <w:snapToGrid/>
          <w:kern w:val="2"/>
          <w:lang w:bidi="ar"/>
        </w:rPr>
        <w:t>（二）各区（市）人民政府在各自行政区域范围内划定禁止燃放烟花爆竹的区域并向社会公告。</w:t>
      </w:r>
    </w:p>
    <w:p>
      <w:pPr>
        <w:shd w:val="clear" w:color="auto" w:fill="FFFFFF"/>
        <w:overflowPunct w:val="0"/>
        <w:adjustRightInd w:val="0"/>
        <w:snapToGrid w:val="0"/>
        <w:spacing w:line="580" w:lineRule="exact"/>
        <w:ind w:firstLine="640" w:firstLineChars="200"/>
        <w:rPr>
          <w:snapToGrid/>
          <w:kern w:val="2"/>
          <w:lang w:bidi="ar"/>
        </w:rPr>
      </w:pPr>
      <w:r>
        <w:rPr>
          <w:rFonts w:hint="eastAsia"/>
          <w:snapToGrid/>
          <w:kern w:val="2"/>
          <w:lang w:bidi="ar"/>
        </w:rPr>
        <w:t>市、区（市）人民政府可以对禁止燃放烟花爆竹的区域进行调整，并向社会公告。</w:t>
      </w:r>
    </w:p>
    <w:p>
      <w:pPr>
        <w:shd w:val="clear" w:color="auto" w:fill="FFFFFF"/>
        <w:overflowPunct w:val="0"/>
        <w:adjustRightInd w:val="0"/>
        <w:snapToGrid w:val="0"/>
        <w:spacing w:line="580" w:lineRule="exact"/>
        <w:ind w:firstLine="640" w:firstLineChars="200"/>
        <w:rPr>
          <w:snapToGrid/>
          <w:kern w:val="2"/>
          <w:lang w:bidi="ar"/>
        </w:rPr>
      </w:pPr>
      <w:r>
        <w:rPr>
          <w:rFonts w:hint="eastAsia"/>
          <w:snapToGrid/>
          <w:kern w:val="2"/>
          <w:lang w:bidi="ar"/>
        </w:rPr>
        <w:t>根据经济社会发展需要，可以合理扩大禁止燃放烟花爆竹的区域，逐步实现全区域禁止燃放烟花爆竹。</w:t>
      </w:r>
    </w:p>
    <w:p>
      <w:pPr>
        <w:overflowPunct w:val="0"/>
        <w:spacing w:line="580" w:lineRule="exact"/>
        <w:ind w:firstLine="640" w:firstLineChars="200"/>
        <w:rPr>
          <w:snapToGrid/>
          <w:kern w:val="2"/>
          <w:lang w:bidi="ar"/>
        </w:rPr>
      </w:pPr>
      <w:r>
        <w:rPr>
          <w:rFonts w:eastAsia="黑体"/>
          <w:snapToGrid/>
          <w:kern w:val="2"/>
          <w:lang w:bidi="ar"/>
        </w:rPr>
        <w:t>第</w:t>
      </w:r>
      <w:r>
        <w:rPr>
          <w:rFonts w:hint="eastAsia" w:eastAsia="黑体"/>
          <w:snapToGrid/>
          <w:kern w:val="2"/>
          <w:lang w:bidi="ar"/>
        </w:rPr>
        <w:t>四</w:t>
      </w:r>
      <w:r>
        <w:rPr>
          <w:rFonts w:eastAsia="黑体"/>
          <w:snapToGrid/>
          <w:kern w:val="2"/>
          <w:lang w:bidi="ar"/>
        </w:rPr>
        <w:t>条</w:t>
      </w:r>
      <w:r>
        <w:rPr>
          <w:rFonts w:eastAsia="方正仿宋_GBK"/>
          <w:snapToGrid/>
          <w:kern w:val="2"/>
          <w:lang w:bidi="ar"/>
        </w:rPr>
        <w:t xml:space="preserve">  </w:t>
      </w:r>
      <w:r>
        <w:rPr>
          <w:snapToGrid/>
          <w:kern w:val="2"/>
          <w:lang w:bidi="ar"/>
        </w:rPr>
        <w:t>在禁止燃放烟花爆竹的区域外，下列场所禁止燃放烟花爆竹：</w:t>
      </w:r>
    </w:p>
    <w:p>
      <w:pPr>
        <w:overflowPunct w:val="0"/>
        <w:spacing w:line="580" w:lineRule="exact"/>
        <w:ind w:firstLine="640" w:firstLineChars="200"/>
        <w:rPr>
          <w:snapToGrid/>
          <w:kern w:val="2"/>
          <w:lang w:bidi="ar"/>
        </w:rPr>
      </w:pPr>
      <w:r>
        <w:rPr>
          <w:snapToGrid/>
          <w:kern w:val="2"/>
          <w:lang w:bidi="ar"/>
        </w:rPr>
        <w:t>（一）机关、事业单位办公场所；</w:t>
      </w:r>
    </w:p>
    <w:p>
      <w:pPr>
        <w:overflowPunct w:val="0"/>
        <w:spacing w:line="580" w:lineRule="exact"/>
        <w:ind w:firstLine="640" w:firstLineChars="200"/>
        <w:rPr>
          <w:snapToGrid/>
          <w:kern w:val="2"/>
          <w:lang w:bidi="ar"/>
        </w:rPr>
      </w:pPr>
      <w:r>
        <w:rPr>
          <w:snapToGrid/>
          <w:kern w:val="2"/>
          <w:lang w:bidi="ar"/>
        </w:rPr>
        <w:t>（二）文物保护单位；</w:t>
      </w:r>
    </w:p>
    <w:p>
      <w:pPr>
        <w:overflowPunct w:val="0"/>
        <w:spacing w:line="580" w:lineRule="exact"/>
        <w:ind w:firstLine="640" w:firstLineChars="200"/>
        <w:rPr>
          <w:snapToGrid/>
          <w:kern w:val="2"/>
          <w:lang w:bidi="ar"/>
        </w:rPr>
      </w:pPr>
      <w:r>
        <w:rPr>
          <w:snapToGrid/>
          <w:kern w:val="2"/>
          <w:lang w:bidi="ar"/>
        </w:rPr>
        <w:t>（三）车站、机场、码头等交通枢纽以及铁路线路安全保护区；</w:t>
      </w:r>
    </w:p>
    <w:p>
      <w:pPr>
        <w:overflowPunct w:val="0"/>
        <w:spacing w:line="580" w:lineRule="exact"/>
        <w:ind w:firstLine="640" w:firstLineChars="200"/>
        <w:rPr>
          <w:snapToGrid/>
          <w:kern w:val="2"/>
          <w:lang w:bidi="ar"/>
        </w:rPr>
      </w:pPr>
      <w:r>
        <w:rPr>
          <w:snapToGrid/>
          <w:kern w:val="2"/>
          <w:lang w:bidi="ar"/>
        </w:rPr>
        <w:t>（四）易燃易爆物品生产、经营、储存场所；</w:t>
      </w:r>
    </w:p>
    <w:p>
      <w:pPr>
        <w:overflowPunct w:val="0"/>
        <w:spacing w:line="580" w:lineRule="exact"/>
        <w:ind w:firstLine="640" w:firstLineChars="200"/>
        <w:rPr>
          <w:snapToGrid/>
          <w:kern w:val="2"/>
          <w:lang w:bidi="ar"/>
        </w:rPr>
      </w:pPr>
      <w:r>
        <w:rPr>
          <w:snapToGrid/>
          <w:kern w:val="2"/>
          <w:lang w:bidi="ar"/>
        </w:rPr>
        <w:t>（五）输变电、燃气、燃油等能源设施安全保护区，军事设施保护区；</w:t>
      </w:r>
    </w:p>
    <w:p>
      <w:pPr>
        <w:overflowPunct w:val="0"/>
        <w:spacing w:line="580" w:lineRule="exact"/>
        <w:ind w:firstLine="640" w:firstLineChars="200"/>
        <w:rPr>
          <w:snapToGrid/>
          <w:kern w:val="2"/>
          <w:lang w:bidi="ar"/>
        </w:rPr>
      </w:pPr>
      <w:r>
        <w:rPr>
          <w:snapToGrid/>
          <w:kern w:val="2"/>
          <w:lang w:bidi="ar"/>
        </w:rPr>
        <w:t>（六）医疗机构、幼儿园、学校、养老服务机构；</w:t>
      </w:r>
    </w:p>
    <w:p>
      <w:pPr>
        <w:overflowPunct w:val="0"/>
        <w:spacing w:line="580" w:lineRule="exact"/>
        <w:ind w:firstLine="640" w:firstLineChars="200"/>
        <w:rPr>
          <w:snapToGrid/>
          <w:kern w:val="2"/>
          <w:lang w:bidi="ar"/>
        </w:rPr>
      </w:pPr>
      <w:r>
        <w:rPr>
          <w:snapToGrid/>
          <w:kern w:val="2"/>
          <w:lang w:bidi="ar"/>
        </w:rPr>
        <w:t>（七）山林等重点防火区，大中型水库管理区；</w:t>
      </w:r>
    </w:p>
    <w:p>
      <w:pPr>
        <w:shd w:val="clear" w:color="auto" w:fill="FFFFFF"/>
        <w:overflowPunct w:val="0"/>
        <w:adjustRightInd w:val="0"/>
        <w:snapToGrid w:val="0"/>
        <w:spacing w:line="580" w:lineRule="exact"/>
        <w:ind w:firstLine="640" w:firstLineChars="200"/>
        <w:rPr>
          <w:snapToGrid/>
          <w:kern w:val="2"/>
          <w:lang w:bidi="ar"/>
        </w:rPr>
      </w:pPr>
      <w:r>
        <w:rPr>
          <w:rFonts w:hint="eastAsia"/>
          <w:snapToGrid/>
          <w:kern w:val="2"/>
          <w:lang w:bidi="ar"/>
        </w:rPr>
        <w:t>（八）旅游景区、商场、图书馆、博物馆、体育场馆等人员密集场所；</w:t>
      </w:r>
    </w:p>
    <w:p>
      <w:pPr>
        <w:overflowPunct w:val="0"/>
        <w:spacing w:line="580" w:lineRule="exact"/>
        <w:ind w:firstLine="640" w:firstLineChars="200"/>
        <w:rPr>
          <w:snapToGrid/>
          <w:kern w:val="2"/>
          <w:lang w:bidi="ar"/>
        </w:rPr>
      </w:pPr>
      <w:r>
        <w:rPr>
          <w:snapToGrid/>
          <w:kern w:val="2"/>
          <w:lang w:bidi="ar"/>
        </w:rPr>
        <w:t>（九）法律</w:t>
      </w:r>
      <w:r>
        <w:rPr>
          <w:rFonts w:hint="eastAsia"/>
          <w:snapToGrid/>
          <w:kern w:val="2"/>
          <w:lang w:bidi="ar"/>
        </w:rPr>
        <w:t>、</w:t>
      </w:r>
      <w:r>
        <w:rPr>
          <w:snapToGrid/>
          <w:kern w:val="2"/>
          <w:lang w:bidi="ar"/>
        </w:rPr>
        <w:t>法规规定的其他场所。　</w:t>
      </w:r>
    </w:p>
    <w:p>
      <w:pPr>
        <w:overflowPunct w:val="0"/>
        <w:spacing w:line="580" w:lineRule="exact"/>
        <w:ind w:firstLine="640" w:firstLineChars="200"/>
        <w:rPr>
          <w:snapToGrid/>
          <w:kern w:val="2"/>
          <w:lang w:bidi="ar"/>
        </w:rPr>
      </w:pPr>
      <w:r>
        <w:rPr>
          <w:rFonts w:eastAsia="黑体"/>
          <w:snapToGrid/>
          <w:kern w:val="2"/>
          <w:lang w:bidi="ar"/>
        </w:rPr>
        <w:t>第</w:t>
      </w:r>
      <w:r>
        <w:rPr>
          <w:rFonts w:hint="eastAsia" w:eastAsia="黑体"/>
          <w:snapToGrid/>
          <w:kern w:val="2"/>
          <w:lang w:bidi="ar"/>
        </w:rPr>
        <w:t>五</w:t>
      </w:r>
      <w:r>
        <w:rPr>
          <w:rFonts w:eastAsia="黑体"/>
          <w:snapToGrid/>
          <w:kern w:val="2"/>
          <w:lang w:bidi="ar"/>
        </w:rPr>
        <w:t>条</w:t>
      </w:r>
      <w:r>
        <w:rPr>
          <w:rFonts w:eastAsia="方正仿宋_GBK"/>
          <w:snapToGrid/>
          <w:kern w:val="2"/>
          <w:lang w:bidi="ar"/>
        </w:rPr>
        <w:t xml:space="preserve">  </w:t>
      </w:r>
      <w:r>
        <w:rPr>
          <w:snapToGrid/>
          <w:kern w:val="2"/>
          <w:lang w:bidi="ar"/>
        </w:rPr>
        <w:t>下列</w:t>
      </w:r>
      <w:r>
        <w:rPr>
          <w:rFonts w:hint="eastAsia"/>
          <w:snapToGrid/>
          <w:kern w:val="2"/>
          <w:lang w:bidi="ar"/>
        </w:rPr>
        <w:t>时段</w:t>
      </w:r>
      <w:r>
        <w:rPr>
          <w:snapToGrid/>
          <w:kern w:val="2"/>
          <w:lang w:bidi="ar"/>
        </w:rPr>
        <w:t>内，本市全区域禁止燃放烟花爆竹：</w:t>
      </w:r>
    </w:p>
    <w:p>
      <w:pPr>
        <w:overflowPunct w:val="0"/>
        <w:spacing w:line="580" w:lineRule="exact"/>
        <w:ind w:firstLine="640" w:firstLineChars="200"/>
        <w:rPr>
          <w:snapToGrid/>
          <w:kern w:val="2"/>
          <w:lang w:bidi="ar"/>
        </w:rPr>
      </w:pPr>
      <w:r>
        <w:rPr>
          <w:snapToGrid/>
          <w:kern w:val="2"/>
          <w:lang w:bidi="ar"/>
        </w:rPr>
        <w:t>（一）重污染天气应急响应期间；</w:t>
      </w:r>
    </w:p>
    <w:p>
      <w:pPr>
        <w:overflowPunct w:val="0"/>
        <w:spacing w:line="580" w:lineRule="exact"/>
        <w:ind w:firstLine="640" w:firstLineChars="200"/>
        <w:rPr>
          <w:snapToGrid/>
          <w:kern w:val="2"/>
          <w:lang w:bidi="ar"/>
        </w:rPr>
      </w:pPr>
      <w:r>
        <w:rPr>
          <w:snapToGrid/>
          <w:kern w:val="2"/>
          <w:lang w:bidi="ar"/>
        </w:rPr>
        <w:t>（二）中考、高考期间；</w:t>
      </w:r>
    </w:p>
    <w:p>
      <w:pPr>
        <w:overflowPunct w:val="0"/>
        <w:spacing w:line="580" w:lineRule="exact"/>
        <w:ind w:firstLine="640" w:firstLineChars="200"/>
        <w:rPr>
          <w:snapToGrid/>
          <w:kern w:val="2"/>
          <w:lang w:bidi="ar"/>
        </w:rPr>
      </w:pPr>
      <w:r>
        <w:rPr>
          <w:snapToGrid/>
          <w:kern w:val="2"/>
          <w:lang w:bidi="ar"/>
        </w:rPr>
        <w:t>（三）市人民政府依法</w:t>
      </w:r>
      <w:r>
        <w:rPr>
          <w:rFonts w:hint="eastAsia"/>
          <w:snapToGrid/>
          <w:kern w:val="2"/>
          <w:lang w:bidi="ar"/>
        </w:rPr>
        <w:t>确定</w:t>
      </w:r>
      <w:r>
        <w:rPr>
          <w:snapToGrid/>
          <w:kern w:val="2"/>
          <w:lang w:bidi="ar"/>
        </w:rPr>
        <w:t>的其他禁止燃放</w:t>
      </w:r>
      <w:r>
        <w:rPr>
          <w:rFonts w:hint="eastAsia"/>
          <w:snapToGrid/>
          <w:kern w:val="2"/>
          <w:lang w:bidi="ar"/>
        </w:rPr>
        <w:t>时段</w:t>
      </w:r>
      <w:r>
        <w:rPr>
          <w:snapToGrid/>
          <w:kern w:val="2"/>
          <w:lang w:bidi="ar"/>
        </w:rPr>
        <w:t>。</w:t>
      </w:r>
    </w:p>
    <w:p>
      <w:pPr>
        <w:spacing w:line="580" w:lineRule="exact"/>
        <w:ind w:firstLine="640" w:firstLineChars="200"/>
        <w:rPr>
          <w:kern w:val="2"/>
          <w:lang w:bidi="ar"/>
        </w:rPr>
      </w:pPr>
      <w:r>
        <w:rPr>
          <w:rFonts w:hint="eastAsia" w:eastAsia="黑体"/>
          <w:kern w:val="2"/>
          <w:lang w:bidi="ar"/>
        </w:rPr>
        <w:t xml:space="preserve">第六条  </w:t>
      </w:r>
      <w:r>
        <w:rPr>
          <w:kern w:val="2"/>
          <w:lang w:bidi="ar"/>
        </w:rPr>
        <w:t>市、区</w:t>
      </w:r>
      <w:r>
        <w:rPr>
          <w:rFonts w:hint="eastAsia"/>
          <w:kern w:val="2"/>
          <w:lang w:bidi="ar"/>
        </w:rPr>
        <w:t>（市）</w:t>
      </w:r>
      <w:r>
        <w:rPr>
          <w:kern w:val="2"/>
          <w:lang w:bidi="ar"/>
        </w:rPr>
        <w:t>人民政府应当在</w:t>
      </w:r>
      <w:r>
        <w:rPr>
          <w:rFonts w:hint="eastAsia"/>
          <w:kern w:val="2"/>
          <w:lang w:bidi="ar"/>
        </w:rPr>
        <w:t>禁止燃放烟花爆竹的区域和</w:t>
      </w:r>
      <w:r>
        <w:rPr>
          <w:kern w:val="2"/>
          <w:lang w:bidi="ar"/>
        </w:rPr>
        <w:t>场所，组织设置禁止燃放烟花爆竹的统一警示标识，并做好安全提示和防范工作。</w:t>
      </w:r>
    </w:p>
    <w:p>
      <w:pPr>
        <w:pStyle w:val="6"/>
        <w:widowControl w:val="0"/>
        <w:shd w:val="clear" w:color="auto" w:fill="FFFFFF"/>
        <w:overflowPunct w:val="0"/>
        <w:spacing w:before="0" w:beforeAutospacing="0" w:after="0" w:afterAutospacing="0" w:line="580" w:lineRule="exact"/>
        <w:ind w:firstLine="640" w:firstLineChars="200"/>
        <w:jc w:val="both"/>
        <w:rPr>
          <w:rFonts w:ascii="Times New Roman" w:hAnsi="Times New Roman" w:eastAsia="仿宋_GB2312"/>
          <w:sz w:val="32"/>
          <w:szCs w:val="32"/>
          <w:lang w:bidi="ar"/>
        </w:rPr>
      </w:pPr>
      <w:r>
        <w:rPr>
          <w:rFonts w:ascii="Times New Roman" w:hAnsi="Times New Roman" w:eastAsia="仿宋_GB2312"/>
          <w:sz w:val="32"/>
          <w:szCs w:val="32"/>
          <w:lang w:bidi="ar"/>
        </w:rPr>
        <w:t>对违法燃放烟花爆竹的行为，任何单位和个人都有权进行劝阻或者向公安等部门举报</w:t>
      </w:r>
      <w:r>
        <w:rPr>
          <w:rFonts w:hint="eastAsia" w:ascii="Times New Roman" w:hAnsi="Times New Roman" w:eastAsia="仿宋_GB2312"/>
          <w:sz w:val="32"/>
          <w:szCs w:val="32"/>
          <w:lang w:bidi="ar"/>
        </w:rPr>
        <w:t>，有关部门接到举报后应当及时查处并反馈，对举报人的信息应当予以保密。</w:t>
      </w:r>
    </w:p>
    <w:p>
      <w:pPr>
        <w:shd w:val="clear" w:color="auto" w:fill="FFFFFF"/>
        <w:overflowPunct w:val="0"/>
        <w:adjustRightInd w:val="0"/>
        <w:snapToGrid w:val="0"/>
        <w:spacing w:line="580" w:lineRule="exact"/>
        <w:ind w:firstLine="640" w:firstLineChars="200"/>
        <w:rPr>
          <w:rFonts w:ascii="仿宋_GB2312" w:hAnsi="仿宋_GB2312" w:cs="仿宋_GB2312"/>
          <w:snapToGrid/>
          <w:kern w:val="2"/>
          <w:lang w:bidi="ar"/>
        </w:rPr>
      </w:pPr>
      <w:r>
        <w:rPr>
          <w:rFonts w:eastAsia="黑体"/>
          <w:snapToGrid/>
          <w:kern w:val="2"/>
          <w:lang w:bidi="ar"/>
        </w:rPr>
        <w:t>第</w:t>
      </w:r>
      <w:r>
        <w:rPr>
          <w:rFonts w:hint="eastAsia" w:eastAsia="黑体"/>
          <w:snapToGrid/>
          <w:kern w:val="2"/>
          <w:lang w:bidi="ar"/>
        </w:rPr>
        <w:t>七</w:t>
      </w:r>
      <w:r>
        <w:rPr>
          <w:rFonts w:eastAsia="黑体"/>
          <w:snapToGrid/>
          <w:kern w:val="2"/>
          <w:lang w:bidi="ar"/>
        </w:rPr>
        <w:t>条</w:t>
      </w:r>
      <w:r>
        <w:rPr>
          <w:rFonts w:eastAsia="方正仿宋_GBK"/>
          <w:snapToGrid/>
          <w:kern w:val="2"/>
          <w:lang w:bidi="ar"/>
        </w:rPr>
        <w:t xml:space="preserve">  </w:t>
      </w:r>
      <w:r>
        <w:rPr>
          <w:snapToGrid/>
          <w:kern w:val="2"/>
          <w:lang w:bidi="ar"/>
        </w:rPr>
        <w:t>在禁止燃放烟花爆竹的区域、场所和</w:t>
      </w:r>
      <w:r>
        <w:rPr>
          <w:rFonts w:hint="eastAsia"/>
          <w:snapToGrid/>
          <w:kern w:val="2"/>
          <w:lang w:bidi="ar"/>
        </w:rPr>
        <w:t>时段</w:t>
      </w:r>
      <w:r>
        <w:rPr>
          <w:snapToGrid/>
          <w:kern w:val="2"/>
          <w:lang w:bidi="ar"/>
        </w:rPr>
        <w:t>内，从事婚庆、宴席、殡仪等服务的经营者应当告知服务对象禁</w:t>
      </w:r>
      <w:r>
        <w:rPr>
          <w:rFonts w:hint="eastAsia" w:ascii="仿宋_GB2312" w:hAnsi="仿宋_GB2312" w:cs="仿宋_GB2312"/>
          <w:snapToGrid/>
          <w:kern w:val="2"/>
          <w:lang w:bidi="ar"/>
        </w:rPr>
        <w:t>止燃放烟花爆竹的规定，并不得为其提供燃放烟花爆竹服务；</w:t>
      </w:r>
      <w:r>
        <w:rPr>
          <w:rFonts w:hint="eastAsia" w:ascii="仿宋_GB2312" w:hAnsi="仿宋_GB2312" w:cs="仿宋_GB2312"/>
          <w:snapToGrid/>
          <w:shd w:val="clear" w:color="auto" w:fill="FFFFFF"/>
        </w:rPr>
        <w:t>对服务对象燃放烟花爆竹的行为，应当予以劝阻，对不听劝阻的应当及时向公安机关报告。</w:t>
      </w:r>
    </w:p>
    <w:p>
      <w:pPr>
        <w:pStyle w:val="6"/>
        <w:shd w:val="clear" w:color="auto" w:fill="FFFFFF"/>
        <w:spacing w:before="0" w:beforeAutospacing="0" w:after="0" w:afterAutospacing="0" w:line="360" w:lineRule="auto"/>
        <w:ind w:firstLine="640" w:firstLineChars="200"/>
        <w:jc w:val="both"/>
        <w:rPr>
          <w:rFonts w:ascii="仿宋_GB2312" w:hAnsi="仿宋_GB2312" w:eastAsia="仿宋_GB2312" w:cs="仿宋_GB2312"/>
          <w:kern w:val="2"/>
          <w:sz w:val="32"/>
          <w:szCs w:val="32"/>
          <w:lang w:bidi="ar"/>
        </w:rPr>
      </w:pPr>
      <w:r>
        <w:rPr>
          <w:rFonts w:hint="eastAsia" w:ascii="Times New Roman" w:hAnsi="Times New Roman" w:eastAsia="黑体"/>
          <w:sz w:val="32"/>
          <w:szCs w:val="32"/>
          <w:lang w:bidi="ar"/>
        </w:rPr>
        <w:t>第八条</w:t>
      </w:r>
      <w:r>
        <w:rPr>
          <w:rFonts w:ascii="Times New Roman" w:hAnsi="Times New Roman" w:eastAsia="黑体"/>
          <w:sz w:val="32"/>
          <w:szCs w:val="32"/>
          <w:lang w:bidi="ar"/>
        </w:rPr>
        <w:t xml:space="preserve"> </w:t>
      </w:r>
      <w:r>
        <w:rPr>
          <w:rFonts w:hint="eastAsia" w:ascii="Times New Roman" w:hAnsi="Times New Roman" w:eastAsia="黑体"/>
          <w:sz w:val="32"/>
          <w:szCs w:val="32"/>
          <w:lang w:bidi="ar"/>
        </w:rPr>
        <w:t xml:space="preserve"> </w:t>
      </w:r>
      <w:r>
        <w:rPr>
          <w:rFonts w:ascii="Times New Roman" w:hAnsi="Times New Roman" w:eastAsia="仿宋_GB2312"/>
          <w:sz w:val="32"/>
          <w:szCs w:val="32"/>
          <w:lang w:bidi="ar"/>
        </w:rPr>
        <w:t>在禁止燃放烟花爆竹的区域、场所和</w:t>
      </w:r>
      <w:r>
        <w:rPr>
          <w:rFonts w:hint="eastAsia" w:ascii="Times New Roman" w:hAnsi="Times New Roman" w:eastAsia="仿宋_GB2312"/>
          <w:sz w:val="32"/>
          <w:szCs w:val="32"/>
          <w:lang w:bidi="ar"/>
        </w:rPr>
        <w:t>时段外，</w:t>
      </w:r>
      <w:r>
        <w:rPr>
          <w:rFonts w:hint="eastAsia" w:ascii="仿宋_GB2312" w:hAnsi="仿宋_GB2312" w:eastAsia="仿宋_GB2312" w:cs="仿宋_GB2312"/>
          <w:kern w:val="2"/>
          <w:sz w:val="32"/>
          <w:szCs w:val="32"/>
          <w:lang w:bidi="ar"/>
        </w:rPr>
        <w:t>燃放烟花爆竹</w:t>
      </w:r>
      <w:r>
        <w:rPr>
          <w:rFonts w:hint="eastAsia" w:ascii="仿宋_GB2312" w:hAnsi="仿宋_GB2312" w:eastAsia="仿宋_GB2312" w:cs="仿宋_GB2312"/>
          <w:sz w:val="32"/>
          <w:szCs w:val="32"/>
          <w:shd w:val="clear" w:color="auto" w:fill="FFFFFF"/>
        </w:rPr>
        <w:t>不得有下列行为</w:t>
      </w:r>
      <w:r>
        <w:rPr>
          <w:rFonts w:hint="eastAsia" w:ascii="仿宋_GB2312" w:hAnsi="仿宋_GB2312" w:eastAsia="仿宋_GB2312" w:cs="仿宋_GB2312"/>
          <w:kern w:val="2"/>
          <w:sz w:val="32"/>
          <w:szCs w:val="32"/>
          <w:lang w:bidi="ar"/>
        </w:rPr>
        <w:t>：</w:t>
      </w:r>
    </w:p>
    <w:p>
      <w:pPr>
        <w:pStyle w:val="6"/>
        <w:widowControl w:val="0"/>
        <w:shd w:val="clear" w:color="auto" w:fill="FFFFFF"/>
        <w:overflowPunct w:val="0"/>
        <w:adjustRightInd w:val="0"/>
        <w:snapToGrid w:val="0"/>
        <w:spacing w:before="0" w:beforeAutospacing="0" w:after="0" w:afterAutospacing="0" w:line="580" w:lineRule="exact"/>
        <w:ind w:firstLine="640" w:firstLineChars="200"/>
        <w:jc w:val="both"/>
        <w:rPr>
          <w:rFonts w:ascii="Times New Roman" w:hAnsi="Times New Roman" w:eastAsia="仿宋_GB2312"/>
          <w:kern w:val="2"/>
          <w:sz w:val="32"/>
          <w:szCs w:val="32"/>
          <w:lang w:bidi="ar"/>
        </w:rPr>
      </w:pPr>
      <w:r>
        <w:rPr>
          <w:rFonts w:ascii="Times New Roman" w:hAnsi="Times New Roman" w:eastAsia="仿宋_GB2312"/>
          <w:kern w:val="2"/>
          <w:sz w:val="32"/>
          <w:szCs w:val="32"/>
          <w:lang w:bidi="ar"/>
        </w:rPr>
        <w:t>（一）向人群、车辆、建筑物（构筑物）、地下管网、公共绿地抛掷；</w:t>
      </w:r>
    </w:p>
    <w:p>
      <w:pPr>
        <w:pStyle w:val="6"/>
        <w:widowControl w:val="0"/>
        <w:shd w:val="clear" w:color="auto" w:fill="FFFFFF"/>
        <w:overflowPunct w:val="0"/>
        <w:adjustRightInd w:val="0"/>
        <w:snapToGrid w:val="0"/>
        <w:spacing w:before="0" w:beforeAutospacing="0" w:after="0" w:afterAutospacing="0" w:line="580" w:lineRule="exact"/>
        <w:ind w:firstLine="640" w:firstLineChars="200"/>
        <w:jc w:val="both"/>
        <w:rPr>
          <w:rFonts w:ascii="Times New Roman" w:hAnsi="Times New Roman" w:eastAsia="仿宋_GB2312"/>
          <w:kern w:val="2"/>
          <w:sz w:val="32"/>
          <w:szCs w:val="32"/>
          <w:lang w:bidi="ar"/>
        </w:rPr>
      </w:pPr>
      <w:r>
        <w:rPr>
          <w:rFonts w:ascii="Times New Roman" w:hAnsi="Times New Roman" w:eastAsia="仿宋_GB2312"/>
          <w:kern w:val="2"/>
          <w:sz w:val="32"/>
          <w:szCs w:val="32"/>
          <w:lang w:bidi="ar"/>
        </w:rPr>
        <w:t>（二）在建筑物（构筑物）内、屋顶、阳台、窗口燃放或者向外抛掷；</w:t>
      </w:r>
    </w:p>
    <w:p>
      <w:pPr>
        <w:pStyle w:val="6"/>
        <w:widowControl w:val="0"/>
        <w:shd w:val="clear" w:color="auto" w:fill="FFFFFF"/>
        <w:overflowPunct w:val="0"/>
        <w:adjustRightInd w:val="0"/>
        <w:snapToGrid w:val="0"/>
        <w:spacing w:before="0" w:beforeAutospacing="0" w:after="0" w:afterAutospacing="0" w:line="580" w:lineRule="exact"/>
        <w:ind w:firstLine="640" w:firstLineChars="200"/>
        <w:jc w:val="both"/>
        <w:rPr>
          <w:rFonts w:ascii="Times New Roman" w:hAnsi="Times New Roman" w:eastAsia="仿宋_GB2312"/>
          <w:kern w:val="2"/>
          <w:sz w:val="32"/>
          <w:szCs w:val="32"/>
          <w:lang w:bidi="ar"/>
        </w:rPr>
      </w:pPr>
      <w:r>
        <w:rPr>
          <w:rFonts w:ascii="Times New Roman" w:hAnsi="Times New Roman" w:eastAsia="仿宋_GB2312"/>
          <w:kern w:val="2"/>
          <w:sz w:val="32"/>
          <w:szCs w:val="32"/>
          <w:lang w:bidi="ar"/>
        </w:rPr>
        <w:t>（三）妨碍行人、车辆安全通行；</w:t>
      </w:r>
    </w:p>
    <w:p>
      <w:pPr>
        <w:pStyle w:val="6"/>
        <w:widowControl w:val="0"/>
        <w:shd w:val="clear" w:color="auto" w:fill="FFFFFF"/>
        <w:overflowPunct w:val="0"/>
        <w:adjustRightInd w:val="0"/>
        <w:snapToGrid w:val="0"/>
        <w:spacing w:before="0" w:beforeAutospacing="0" w:after="0" w:afterAutospacing="0" w:line="580" w:lineRule="exact"/>
        <w:ind w:firstLine="640" w:firstLineChars="200"/>
        <w:jc w:val="both"/>
        <w:rPr>
          <w:rFonts w:ascii="仿宋_GB2312" w:hAnsi="仿宋_GB2312" w:eastAsia="仿宋_GB2312" w:cs="仿宋_GB2312"/>
          <w:kern w:val="2"/>
          <w:sz w:val="32"/>
          <w:szCs w:val="32"/>
          <w:lang w:bidi="ar"/>
        </w:rPr>
      </w:pPr>
      <w:r>
        <w:rPr>
          <w:rFonts w:ascii="Times New Roman" w:hAnsi="Times New Roman" w:eastAsia="仿宋_GB2312"/>
          <w:kern w:val="2"/>
          <w:sz w:val="32"/>
          <w:szCs w:val="32"/>
          <w:lang w:bidi="ar"/>
        </w:rPr>
        <w:t>（四）采取其他危害公共安全和人身、财产安全的方式</w:t>
      </w:r>
      <w:r>
        <w:rPr>
          <w:rFonts w:hint="eastAsia" w:ascii="仿宋_GB2312" w:hAnsi="仿宋_GB2312" w:eastAsia="仿宋_GB2312" w:cs="仿宋_GB2312"/>
          <w:kern w:val="2"/>
          <w:sz w:val="32"/>
          <w:szCs w:val="32"/>
          <w:lang w:bidi="ar"/>
        </w:rPr>
        <w:t>燃放。</w:t>
      </w:r>
    </w:p>
    <w:p>
      <w:pPr>
        <w:pStyle w:val="6"/>
        <w:widowControl w:val="0"/>
        <w:shd w:val="clear" w:color="auto" w:fill="FFFFFF"/>
        <w:overflowPunct w:val="0"/>
        <w:adjustRightInd w:val="0"/>
        <w:snapToGrid w:val="0"/>
        <w:spacing w:before="0" w:beforeAutospacing="0" w:after="0" w:afterAutospacing="0" w:line="580" w:lineRule="exact"/>
        <w:ind w:firstLine="640" w:firstLineChars="200"/>
        <w:jc w:val="both"/>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燃放烟花爆竹后应当及时清理燃放残留物，并消除安全隐患。</w:t>
      </w:r>
    </w:p>
    <w:p>
      <w:pPr>
        <w:pStyle w:val="6"/>
        <w:widowControl w:val="0"/>
        <w:shd w:val="clear" w:color="auto" w:fill="FFFFFF"/>
        <w:overflowPunct w:val="0"/>
        <w:spacing w:before="0" w:beforeAutospacing="0" w:after="0" w:afterAutospacing="0" w:line="580" w:lineRule="exact"/>
        <w:ind w:firstLine="640" w:firstLineChars="200"/>
        <w:jc w:val="both"/>
        <w:rPr>
          <w:rFonts w:ascii="Times New Roman" w:hAnsi="Times New Roman" w:eastAsia="仿宋_GB2312"/>
          <w:kern w:val="2"/>
          <w:sz w:val="32"/>
          <w:szCs w:val="32"/>
          <w:lang w:bidi="ar"/>
        </w:rPr>
      </w:pPr>
      <w:r>
        <w:rPr>
          <w:rFonts w:ascii="Times New Roman" w:hAnsi="Times New Roman" w:eastAsia="黑体"/>
          <w:kern w:val="2"/>
          <w:sz w:val="32"/>
          <w:szCs w:val="32"/>
          <w:lang w:bidi="ar"/>
        </w:rPr>
        <w:t>第</w:t>
      </w:r>
      <w:r>
        <w:rPr>
          <w:rFonts w:hint="eastAsia" w:ascii="Times New Roman" w:hAnsi="Times New Roman" w:eastAsia="黑体"/>
          <w:kern w:val="2"/>
          <w:sz w:val="32"/>
          <w:szCs w:val="32"/>
          <w:lang w:bidi="ar"/>
        </w:rPr>
        <w:t>九</w:t>
      </w:r>
      <w:r>
        <w:rPr>
          <w:rFonts w:ascii="Times New Roman" w:hAnsi="Times New Roman" w:eastAsia="黑体"/>
          <w:kern w:val="2"/>
          <w:sz w:val="32"/>
          <w:szCs w:val="32"/>
          <w:lang w:bidi="ar"/>
        </w:rPr>
        <w:t>条</w:t>
      </w:r>
      <w:r>
        <w:rPr>
          <w:rFonts w:hint="eastAsia" w:ascii="Times New Roman" w:hAnsi="Times New Roman" w:eastAsia="黑体"/>
          <w:kern w:val="2"/>
          <w:sz w:val="32"/>
          <w:szCs w:val="32"/>
          <w:lang w:bidi="ar"/>
        </w:rPr>
        <w:t xml:space="preserve">  </w:t>
      </w:r>
      <w:r>
        <w:rPr>
          <w:rFonts w:ascii="Times New Roman" w:hAnsi="Times New Roman" w:eastAsia="仿宋_GB2312"/>
          <w:kern w:val="2"/>
          <w:sz w:val="32"/>
          <w:szCs w:val="32"/>
          <w:lang w:bidi="ar"/>
        </w:rPr>
        <w:t>违反本条例第</w:t>
      </w:r>
      <w:r>
        <w:rPr>
          <w:rFonts w:hint="eastAsia" w:ascii="Times New Roman" w:hAnsi="Times New Roman" w:eastAsia="仿宋_GB2312"/>
          <w:kern w:val="2"/>
          <w:sz w:val="32"/>
          <w:szCs w:val="32"/>
          <w:lang w:bidi="ar"/>
        </w:rPr>
        <w:t>三</w:t>
      </w:r>
      <w:r>
        <w:rPr>
          <w:rFonts w:ascii="Times New Roman" w:hAnsi="Times New Roman" w:eastAsia="仿宋_GB2312"/>
          <w:kern w:val="2"/>
          <w:sz w:val="32"/>
          <w:szCs w:val="32"/>
          <w:lang w:bidi="ar"/>
        </w:rPr>
        <w:t>条、第</w:t>
      </w:r>
      <w:r>
        <w:rPr>
          <w:rFonts w:hint="eastAsia" w:ascii="Times New Roman" w:hAnsi="Times New Roman" w:eastAsia="仿宋_GB2312"/>
          <w:kern w:val="2"/>
          <w:sz w:val="32"/>
          <w:szCs w:val="32"/>
          <w:lang w:bidi="ar"/>
        </w:rPr>
        <w:t>四</w:t>
      </w:r>
      <w:r>
        <w:rPr>
          <w:rFonts w:ascii="Times New Roman" w:hAnsi="Times New Roman" w:eastAsia="仿宋_GB2312"/>
          <w:kern w:val="2"/>
          <w:sz w:val="32"/>
          <w:szCs w:val="32"/>
          <w:lang w:bidi="ar"/>
        </w:rPr>
        <w:t>条、第</w:t>
      </w:r>
      <w:r>
        <w:rPr>
          <w:rFonts w:hint="eastAsia" w:ascii="Times New Roman" w:hAnsi="Times New Roman" w:eastAsia="仿宋_GB2312"/>
          <w:kern w:val="2"/>
          <w:sz w:val="32"/>
          <w:szCs w:val="32"/>
          <w:lang w:bidi="ar"/>
        </w:rPr>
        <w:t>五</w:t>
      </w:r>
      <w:r>
        <w:rPr>
          <w:rFonts w:ascii="Times New Roman" w:hAnsi="Times New Roman" w:eastAsia="仿宋_GB2312"/>
          <w:kern w:val="2"/>
          <w:sz w:val="32"/>
          <w:szCs w:val="32"/>
          <w:lang w:bidi="ar"/>
        </w:rPr>
        <w:t>条、第</w:t>
      </w:r>
      <w:r>
        <w:rPr>
          <w:rFonts w:hint="eastAsia" w:ascii="Times New Roman" w:hAnsi="Times New Roman" w:eastAsia="仿宋_GB2312"/>
          <w:kern w:val="2"/>
          <w:sz w:val="32"/>
          <w:szCs w:val="32"/>
          <w:lang w:bidi="ar"/>
        </w:rPr>
        <w:t>八</w:t>
      </w:r>
      <w:r>
        <w:rPr>
          <w:rFonts w:ascii="Times New Roman" w:hAnsi="Times New Roman" w:eastAsia="仿宋_GB2312"/>
          <w:kern w:val="2"/>
          <w:sz w:val="32"/>
          <w:szCs w:val="32"/>
          <w:lang w:bidi="ar"/>
        </w:rPr>
        <w:t>条规定，在禁止燃放烟花爆竹的区域、场所、时</w:t>
      </w:r>
      <w:r>
        <w:rPr>
          <w:rFonts w:hint="eastAsia" w:ascii="Times New Roman" w:hAnsi="Times New Roman" w:eastAsia="仿宋_GB2312"/>
          <w:kern w:val="2"/>
          <w:sz w:val="32"/>
          <w:szCs w:val="32"/>
          <w:lang w:bidi="ar"/>
        </w:rPr>
        <w:t>段</w:t>
      </w:r>
      <w:r>
        <w:rPr>
          <w:rFonts w:ascii="Times New Roman" w:hAnsi="Times New Roman" w:eastAsia="仿宋_GB2312"/>
          <w:kern w:val="2"/>
          <w:sz w:val="32"/>
          <w:szCs w:val="32"/>
          <w:lang w:bidi="ar"/>
        </w:rPr>
        <w:t>内燃放烟花爆竹或者以危害公共安全和人身、财产安全的方式燃放烟花爆竹的，由公安机关责令停止燃放，处一百元以上五百元以下的罚款；构成违反治安管理行为的，依法给予治安管理处罚</w:t>
      </w:r>
      <w:r>
        <w:rPr>
          <w:rFonts w:hint="eastAsia" w:ascii="Times New Roman" w:hAnsi="Times New Roman" w:eastAsia="仿宋_GB2312"/>
          <w:kern w:val="2"/>
          <w:sz w:val="32"/>
          <w:szCs w:val="32"/>
          <w:lang w:bidi="ar"/>
        </w:rPr>
        <w:t>；构成犯罪的，依法追究刑事责任。</w:t>
      </w:r>
    </w:p>
    <w:p>
      <w:pPr>
        <w:pStyle w:val="6"/>
        <w:widowControl w:val="0"/>
        <w:shd w:val="clear" w:color="auto" w:fill="FFFFFF"/>
        <w:overflowPunct w:val="0"/>
        <w:spacing w:before="0" w:beforeAutospacing="0" w:after="0" w:afterAutospacing="0" w:line="580" w:lineRule="exact"/>
        <w:ind w:firstLine="645"/>
        <w:jc w:val="both"/>
        <w:rPr>
          <w:rFonts w:ascii="Times New Roman" w:hAnsi="Times New Roman" w:eastAsia="仿宋_GB2312"/>
          <w:kern w:val="2"/>
          <w:sz w:val="32"/>
          <w:szCs w:val="32"/>
          <w:lang w:bidi="ar"/>
        </w:rPr>
      </w:pPr>
      <w:r>
        <w:rPr>
          <w:rFonts w:ascii="Times New Roman" w:hAnsi="Times New Roman" w:eastAsia="黑体"/>
          <w:kern w:val="2"/>
          <w:sz w:val="32"/>
          <w:szCs w:val="32"/>
          <w:lang w:bidi="ar"/>
        </w:rPr>
        <w:t>第十条</w:t>
      </w:r>
      <w:r>
        <w:rPr>
          <w:rFonts w:ascii="Times New Roman" w:hAnsi="Times New Roman" w:eastAsia="方正仿宋_GBK"/>
          <w:kern w:val="2"/>
          <w:sz w:val="32"/>
          <w:szCs w:val="32"/>
          <w:lang w:bidi="ar"/>
        </w:rPr>
        <w:t xml:space="preserve">  </w:t>
      </w:r>
      <w:r>
        <w:rPr>
          <w:rFonts w:ascii="Times New Roman" w:hAnsi="Times New Roman" w:eastAsia="仿宋_GB2312"/>
          <w:kern w:val="2"/>
          <w:sz w:val="32"/>
          <w:szCs w:val="32"/>
          <w:lang w:bidi="ar"/>
        </w:rPr>
        <w:t>本条例自</w:t>
      </w:r>
      <w:r>
        <w:rPr>
          <w:rFonts w:hint="eastAsia" w:ascii="仿宋_GB2312" w:hAnsi="黑体" w:eastAsia="仿宋_GB2312"/>
          <w:kern w:val="2"/>
          <w:sz w:val="32"/>
          <w:szCs w:val="32"/>
          <w:lang w:bidi="ar"/>
        </w:rPr>
        <w:t>2023年1月1日</w:t>
      </w:r>
      <w:r>
        <w:rPr>
          <w:rFonts w:ascii="Times New Roman" w:hAnsi="Times New Roman" w:eastAsia="仿宋_GB2312"/>
          <w:kern w:val="2"/>
          <w:sz w:val="32"/>
          <w:szCs w:val="32"/>
          <w:lang w:bidi="ar"/>
        </w:rPr>
        <w:t>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F7946"/>
    <w:rsid w:val="7FDF7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qFormat/>
    <w:uiPriority w:val="0"/>
    <w:pPr>
      <w:ind w:firstLine="210"/>
    </w:pPr>
    <w:rPr>
      <w:rFonts w:eastAsia="宋体"/>
      <w:kern w:val="2"/>
      <w:szCs w:val="24"/>
    </w:rPr>
  </w:style>
  <w:style w:type="paragraph" w:styleId="3">
    <w:name w:val="Body Text Indent"/>
    <w:basedOn w:val="1"/>
    <w:next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qFormat/>
    <w:uiPriority w:val="0"/>
    <w:pPr>
      <w:spacing w:before="100" w:beforeAutospacing="1" w:after="100" w:afterAutospacing="1"/>
    </w:pPr>
    <w:rPr>
      <w:rFonts w:ascii="宋体" w:hAnsi="宋体" w:eastAsia="宋体" w:cs="宋体"/>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2023-02-02T10:24:00Z</dcterms:created>
  <dc:creator>user</dc:creator>
  <cp:lastModifiedBy>user</cp:lastModifiedBy>
  <dcterms:modified xsi:type="dcterms:W3CDTF">2023-02-02T10:29:48Z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