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widowControl/>
        <w:spacing w:line="570" w:lineRule="exact"/>
        <w:rPr>
          <w:rFonts w:ascii="仿宋_GB2312" w:cs="Times New Roman"/>
        </w:rPr>
      </w:pPr>
    </w:p>
    <w:p>
      <w:pPr>
        <w:widowControl/>
        <w:spacing w:line="570" w:lineRule="exact"/>
        <w:rPr>
          <w:rFonts w:ascii="仿宋_GB2312" w:cs="Times New Roman"/>
        </w:rPr>
      </w:pPr>
    </w:p>
    <w:p>
      <w:pPr>
        <w:spacing w:line="570" w:lineRule="exact"/>
        <w:jc w:val="center"/>
        <w:rPr>
          <w:rStyle w:val="20"/>
          <w:rFonts w:ascii="宋体" w:hAnsi="宋体" w:eastAsia="宋体" w:cs="Times New Roman"/>
          <w:spacing w:val="-10"/>
          <w:sz w:val="44"/>
          <w:szCs w:val="44"/>
        </w:rPr>
      </w:pPr>
      <w:r>
        <w:rPr>
          <w:rStyle w:val="20"/>
          <w:rFonts w:hint="eastAsia" w:ascii="宋体" w:hAnsi="宋体" w:eastAsia="宋体" w:cs="宋体"/>
          <w:spacing w:val="-10"/>
          <w:sz w:val="44"/>
          <w:szCs w:val="44"/>
        </w:rPr>
        <w:t>武汉市城市桥梁隧道安全管理条例</w:t>
      </w:r>
    </w:p>
    <w:p>
      <w:pPr>
        <w:widowControl/>
        <w:spacing w:line="570" w:lineRule="exact"/>
        <w:jc w:val="left"/>
        <w:rPr>
          <w:rFonts w:ascii="楷体_GB2312" w:hAnsi="楷体_GB2312" w:eastAsia="楷体_GB2312" w:cs="Times New Roman"/>
          <w:kern w:val="0"/>
          <w:shd w:val="clear" w:color="auto" w:fill="FFFFFF"/>
        </w:rPr>
      </w:pPr>
    </w:p>
    <w:p>
      <w:pPr>
        <w:widowControl/>
        <w:spacing w:line="570" w:lineRule="exact"/>
        <w:ind w:left="640" w:right="640"/>
        <w:jc w:val="left"/>
        <w:rPr>
          <w:rFonts w:ascii="楷体_GB2312" w:hAnsi="楷体_GB2312" w:eastAsia="楷体_GB2312" w:cs="Times New Roman"/>
          <w:spacing w:val="-6"/>
        </w:rPr>
      </w:pPr>
      <w:r>
        <w:rPr>
          <w:rFonts w:hint="eastAsia" w:ascii="楷体_GB2312" w:hAnsi="楷体_GB2312" w:eastAsia="楷体_GB2312" w:cs="楷体_GB2312"/>
          <w:spacing w:val="-6"/>
          <w:kern w:val="0"/>
          <w:shd w:val="clear" w:color="auto" w:fill="FFFFFF"/>
        </w:rPr>
        <w:t>（2017年4月18日武汉市第十四届人民代表大会常务委员会第二次会议通过  2017年5月24日湖北省第十二届人民代表大会常务委员会第二十八次会议批准）</w:t>
      </w:r>
    </w:p>
    <w:p>
      <w:pPr>
        <w:pStyle w:val="7"/>
        <w:spacing w:line="570" w:lineRule="exact"/>
        <w:jc w:val="both"/>
        <w:rPr>
          <w:rFonts w:ascii="黑体" w:hAnsi="黑体" w:eastAsia="黑体" w:cs="Times New Roman"/>
          <w:color w:val="000000"/>
          <w:sz w:val="32"/>
          <w:szCs w:val="32"/>
        </w:rPr>
      </w:pPr>
    </w:p>
    <w:p>
      <w:pPr>
        <w:pStyle w:val="7"/>
        <w:spacing w:line="570" w:lineRule="exact"/>
        <w:jc w:val="center"/>
        <w:rPr>
          <w:rFonts w:ascii="楷体_GB2312" w:hAnsi="楷体" w:eastAsia="楷体_GB2312" w:cs="Times New Roman"/>
          <w:color w:val="000000"/>
          <w:sz w:val="32"/>
          <w:szCs w:val="32"/>
        </w:rPr>
      </w:pPr>
      <w:r>
        <w:rPr>
          <w:rFonts w:hint="eastAsia" w:ascii="楷体_GB2312" w:hAnsi="楷体" w:eastAsia="楷体_GB2312" w:cs="楷体_GB2312"/>
          <w:color w:val="000000"/>
          <w:sz w:val="32"/>
          <w:szCs w:val="32"/>
        </w:rPr>
        <w:t>目</w:t>
      </w:r>
      <w:r>
        <w:rPr>
          <w:rFonts w:ascii="楷体_GB2312" w:hAnsi="楷体" w:eastAsia="楷体_GB2312" w:cs="楷体_GB2312"/>
          <w:color w:val="000000"/>
          <w:sz w:val="32"/>
          <w:szCs w:val="32"/>
        </w:rPr>
        <w:t xml:space="preserve">    </w:t>
      </w:r>
      <w:r>
        <w:rPr>
          <w:rFonts w:hint="eastAsia" w:ascii="楷体_GB2312" w:hAnsi="楷体" w:eastAsia="楷体_GB2312" w:cs="楷体_GB2312"/>
          <w:color w:val="000000"/>
          <w:sz w:val="32"/>
          <w:szCs w:val="32"/>
        </w:rPr>
        <w:t>录</w:t>
      </w:r>
      <w:bookmarkStart w:id="0" w:name="_GoBack"/>
      <w:bookmarkEnd w:id="0"/>
    </w:p>
    <w:p>
      <w:pPr>
        <w:pStyle w:val="7"/>
        <w:numPr>
          <w:ilvl w:val="0"/>
          <w:numId w:val="1"/>
        </w:numPr>
        <w:spacing w:line="570" w:lineRule="exact"/>
        <w:ind w:firstLine="640" w:firstLineChars="200"/>
        <w:jc w:val="both"/>
        <w:rPr>
          <w:rFonts w:ascii="楷体_GB2312" w:hAnsi="楷体" w:eastAsia="楷体_GB2312" w:cs="Times New Roman"/>
          <w:color w:val="000000"/>
          <w:sz w:val="32"/>
          <w:szCs w:val="32"/>
        </w:rPr>
      </w:pPr>
      <w:r>
        <w:rPr>
          <w:rFonts w:ascii="楷体" w:hAnsi="楷体" w:eastAsia="楷体" w:cs="楷体"/>
          <w:color w:val="000000"/>
          <w:sz w:val="32"/>
          <w:szCs w:val="32"/>
        </w:rPr>
        <w:t xml:space="preserve"> </w:t>
      </w:r>
      <w:r>
        <w:rPr>
          <w:rFonts w:hint="eastAsia" w:ascii="楷体_GB2312" w:hAnsi="楷体" w:eastAsia="楷体_GB2312" w:cs="楷体_GB2312"/>
          <w:color w:val="000000"/>
          <w:sz w:val="32"/>
          <w:szCs w:val="32"/>
        </w:rPr>
        <w:t>总则</w:t>
      </w:r>
    </w:p>
    <w:p>
      <w:pPr>
        <w:pStyle w:val="7"/>
        <w:numPr>
          <w:ilvl w:val="0"/>
          <w:numId w:val="1"/>
        </w:numPr>
        <w:spacing w:line="570" w:lineRule="exact"/>
        <w:ind w:firstLine="640" w:firstLineChars="200"/>
        <w:jc w:val="both"/>
        <w:rPr>
          <w:rFonts w:ascii="楷体_GB2312" w:hAnsi="楷体" w:eastAsia="楷体_GB2312" w:cs="Times New Roman"/>
          <w:color w:val="000000"/>
          <w:sz w:val="32"/>
          <w:szCs w:val="32"/>
        </w:rPr>
      </w:pPr>
      <w:r>
        <w:rPr>
          <w:rFonts w:ascii="楷体_GB2312" w:hAnsi="楷体" w:eastAsia="楷体_GB2312" w:cs="楷体_GB2312"/>
          <w:color w:val="000000"/>
          <w:sz w:val="32"/>
          <w:szCs w:val="32"/>
        </w:rPr>
        <w:t xml:space="preserve"> </w:t>
      </w:r>
      <w:r>
        <w:rPr>
          <w:rFonts w:hint="eastAsia" w:ascii="楷体_GB2312" w:hAnsi="楷体" w:eastAsia="楷体_GB2312" w:cs="楷体_GB2312"/>
          <w:color w:val="000000"/>
          <w:sz w:val="32"/>
          <w:szCs w:val="32"/>
        </w:rPr>
        <w:t>建设移交管理</w:t>
      </w:r>
    </w:p>
    <w:p>
      <w:pPr>
        <w:pStyle w:val="7"/>
        <w:numPr>
          <w:ilvl w:val="0"/>
          <w:numId w:val="1"/>
        </w:numPr>
        <w:spacing w:line="570" w:lineRule="exact"/>
        <w:ind w:firstLine="640" w:firstLineChars="200"/>
        <w:jc w:val="both"/>
        <w:rPr>
          <w:rFonts w:ascii="楷体_GB2312" w:hAnsi="楷体" w:eastAsia="楷体_GB2312" w:cs="Times New Roman"/>
          <w:color w:val="000000"/>
          <w:sz w:val="32"/>
          <w:szCs w:val="32"/>
        </w:rPr>
      </w:pPr>
      <w:r>
        <w:rPr>
          <w:rFonts w:ascii="楷体_GB2312" w:hAnsi="楷体" w:eastAsia="楷体_GB2312" w:cs="楷体_GB2312"/>
          <w:color w:val="000000"/>
          <w:sz w:val="32"/>
          <w:szCs w:val="32"/>
        </w:rPr>
        <w:t xml:space="preserve"> </w:t>
      </w:r>
      <w:r>
        <w:rPr>
          <w:rFonts w:hint="eastAsia" w:ascii="楷体_GB2312" w:hAnsi="楷体" w:eastAsia="楷体_GB2312" w:cs="楷体_GB2312"/>
          <w:color w:val="000000"/>
          <w:sz w:val="32"/>
          <w:szCs w:val="32"/>
        </w:rPr>
        <w:t>安全使用管理</w:t>
      </w:r>
    </w:p>
    <w:p>
      <w:pPr>
        <w:pStyle w:val="7"/>
        <w:numPr>
          <w:ilvl w:val="0"/>
          <w:numId w:val="1"/>
        </w:numPr>
        <w:spacing w:line="570" w:lineRule="exact"/>
        <w:ind w:firstLine="640" w:firstLineChars="200"/>
        <w:jc w:val="both"/>
        <w:rPr>
          <w:rFonts w:ascii="楷体_GB2312" w:hAnsi="楷体" w:eastAsia="楷体_GB2312" w:cs="Times New Roman"/>
          <w:color w:val="000000"/>
          <w:sz w:val="32"/>
          <w:szCs w:val="32"/>
        </w:rPr>
      </w:pPr>
      <w:r>
        <w:rPr>
          <w:rFonts w:ascii="楷体_GB2312" w:hAnsi="楷体" w:eastAsia="楷体_GB2312" w:cs="楷体_GB2312"/>
          <w:color w:val="000000"/>
          <w:sz w:val="32"/>
          <w:szCs w:val="32"/>
        </w:rPr>
        <w:t xml:space="preserve"> </w:t>
      </w:r>
      <w:r>
        <w:rPr>
          <w:rFonts w:hint="eastAsia" w:ascii="楷体_GB2312" w:hAnsi="楷体" w:eastAsia="楷体_GB2312" w:cs="楷体_GB2312"/>
          <w:color w:val="000000"/>
          <w:sz w:val="32"/>
          <w:szCs w:val="32"/>
        </w:rPr>
        <w:t>检测维护管理</w:t>
      </w:r>
    </w:p>
    <w:p>
      <w:pPr>
        <w:pStyle w:val="7"/>
        <w:numPr>
          <w:ilvl w:val="0"/>
          <w:numId w:val="1"/>
        </w:numPr>
        <w:spacing w:line="570" w:lineRule="exact"/>
        <w:ind w:firstLine="640" w:firstLineChars="200"/>
        <w:jc w:val="both"/>
        <w:rPr>
          <w:rFonts w:hint="eastAsia" w:ascii="楷体_GB2312" w:hAnsi="楷体" w:eastAsia="楷体_GB2312" w:cs="Times New Roman"/>
          <w:color w:val="000000"/>
          <w:sz w:val="32"/>
          <w:szCs w:val="32"/>
        </w:rPr>
      </w:pPr>
      <w:r>
        <w:rPr>
          <w:rFonts w:ascii="楷体_GB2312" w:hAnsi="楷体" w:eastAsia="楷体_GB2312" w:cs="楷体_GB2312"/>
          <w:color w:val="000000"/>
          <w:sz w:val="32"/>
          <w:szCs w:val="32"/>
        </w:rPr>
        <w:t xml:space="preserve"> </w:t>
      </w:r>
      <w:r>
        <w:rPr>
          <w:rFonts w:hint="eastAsia" w:ascii="楷体_GB2312" w:hAnsi="楷体" w:eastAsia="楷体_GB2312" w:cs="楷体_GB2312"/>
          <w:color w:val="000000"/>
          <w:sz w:val="32"/>
          <w:szCs w:val="32"/>
        </w:rPr>
        <w:t>法律责任</w:t>
      </w:r>
    </w:p>
    <w:p>
      <w:pPr>
        <w:pStyle w:val="7"/>
        <w:numPr>
          <w:ilvl w:val="0"/>
          <w:numId w:val="1"/>
        </w:numPr>
        <w:spacing w:line="570" w:lineRule="exact"/>
        <w:ind w:firstLine="640" w:firstLineChars="200"/>
        <w:jc w:val="both"/>
        <w:rPr>
          <w:rFonts w:ascii="楷体_GB2312" w:hAnsi="楷体" w:eastAsia="楷体_GB2312" w:cs="Times New Roman"/>
          <w:color w:val="000000"/>
          <w:sz w:val="32"/>
          <w:szCs w:val="32"/>
        </w:rPr>
      </w:pPr>
      <w:r>
        <w:rPr>
          <w:rFonts w:hint="eastAsia" w:ascii="楷体_GB2312" w:hAnsi="楷体" w:eastAsia="楷体_GB2312" w:cs="楷体_GB2312"/>
          <w:color w:val="000000"/>
          <w:sz w:val="32"/>
          <w:szCs w:val="32"/>
        </w:rPr>
        <w:t xml:space="preserve"> 附则</w:t>
      </w:r>
    </w:p>
    <w:p>
      <w:pPr>
        <w:spacing w:line="570" w:lineRule="exact"/>
        <w:ind w:firstLine="640"/>
        <w:rPr>
          <w:rFonts w:ascii="仿宋_GB2312" w:cs="Times New Roman"/>
          <w:kern w:val="0"/>
        </w:rPr>
      </w:pPr>
    </w:p>
    <w:p>
      <w:pPr>
        <w:spacing w:line="570" w:lineRule="exact"/>
        <w:jc w:val="center"/>
        <w:rPr>
          <w:rFonts w:ascii="黑体" w:hAnsi="黑体" w:eastAsia="黑体" w:cs="Times New Roman"/>
          <w:kern w:val="0"/>
        </w:rPr>
      </w:pPr>
      <w:r>
        <w:rPr>
          <w:rFonts w:hint="eastAsia" w:ascii="黑体" w:hAnsi="黑体" w:eastAsia="黑体" w:cs="黑体"/>
          <w:kern w:val="0"/>
        </w:rPr>
        <w:t>第一章</w:t>
      </w:r>
      <w:r>
        <w:rPr>
          <w:rFonts w:ascii="黑体" w:hAnsi="黑体" w:eastAsia="黑体" w:cs="黑体"/>
          <w:kern w:val="0"/>
        </w:rPr>
        <w:t xml:space="preserve">  </w:t>
      </w:r>
      <w:r>
        <w:rPr>
          <w:rFonts w:hint="eastAsia" w:ascii="黑体" w:hAnsi="黑体" w:eastAsia="黑体" w:cs="黑体"/>
          <w:kern w:val="0"/>
        </w:rPr>
        <w:t>总则</w:t>
      </w:r>
    </w:p>
    <w:p>
      <w:pPr>
        <w:spacing w:line="570" w:lineRule="exact"/>
        <w:ind w:firstLine="640" w:firstLineChars="200"/>
        <w:rPr>
          <w:rFonts w:ascii="黑体" w:hAnsi="黑体" w:eastAsia="黑体" w:cs="Times New Roman"/>
          <w:kern w:val="0"/>
        </w:rPr>
      </w:pPr>
    </w:p>
    <w:p>
      <w:pPr>
        <w:spacing w:line="570" w:lineRule="exact"/>
        <w:ind w:firstLine="640" w:firstLineChars="200"/>
        <w:rPr>
          <w:rFonts w:hint="eastAsia" w:ascii="仿宋_GB2312" w:hAnsi="黑体" w:cs="黑体"/>
          <w:kern w:val="0"/>
        </w:rPr>
      </w:pPr>
      <w:r>
        <w:rPr>
          <w:rFonts w:hint="eastAsia" w:ascii="黑体" w:hAnsi="黑体" w:eastAsia="黑体" w:cs="黑体"/>
          <w:kern w:val="0"/>
        </w:rPr>
        <w:t>第一条</w:t>
      </w:r>
      <w:r>
        <w:rPr>
          <w:rFonts w:hint="eastAsia" w:ascii="仿宋_GB2312" w:hAnsi="黑体" w:cs="黑体"/>
          <w:kern w:val="0"/>
        </w:rPr>
        <w:t xml:space="preserve">  为了加强城市桥梁、隧道管理，确保城市桥梁、隧道完好、安全、畅通，根据有关法律、法规的规定，结合本市实际，制定本条例。</w:t>
      </w:r>
    </w:p>
    <w:p>
      <w:pPr>
        <w:spacing w:line="570" w:lineRule="exact"/>
        <w:ind w:firstLine="640" w:firstLineChars="200"/>
        <w:rPr>
          <w:rFonts w:hint="eastAsia" w:ascii="仿宋_GB2312" w:hAnsi="黑体" w:cs="黑体"/>
          <w:kern w:val="0"/>
        </w:rPr>
      </w:pPr>
      <w:r>
        <w:rPr>
          <w:rFonts w:hint="eastAsia" w:ascii="黑体" w:hAnsi="黑体" w:eastAsia="黑体" w:cs="黑体"/>
          <w:kern w:val="0"/>
        </w:rPr>
        <w:t>第二条</w:t>
      </w:r>
      <w:r>
        <w:rPr>
          <w:rFonts w:hint="eastAsia" w:ascii="仿宋_GB2312" w:hAnsi="黑体" w:cs="黑体"/>
          <w:kern w:val="0"/>
        </w:rPr>
        <w:t xml:space="preserve">  本市市区和市人民政府确定实行城市化管理的其他区域内供车辆、行人通行的，具备一定技术条件的桥梁、隧道及其附属设施的建设移交、安全使用、检测维护等，适用本条例。公路、铁路、城市轨道交通所涉桥梁、隧道的安全管理，按照相关法律、法规的规定执行。</w:t>
      </w:r>
    </w:p>
    <w:p>
      <w:pPr>
        <w:spacing w:line="570" w:lineRule="exact"/>
        <w:ind w:firstLine="640" w:firstLineChars="200"/>
        <w:rPr>
          <w:rFonts w:hint="eastAsia" w:ascii="仿宋_GB2312" w:hAnsi="黑体" w:cs="黑体"/>
          <w:kern w:val="0"/>
        </w:rPr>
      </w:pPr>
      <w:r>
        <w:rPr>
          <w:rFonts w:hint="eastAsia" w:ascii="仿宋_GB2312" w:hAnsi="黑体" w:cs="黑体"/>
          <w:kern w:val="0"/>
        </w:rPr>
        <w:t>本市城市桥梁、隧道与公路桥梁、隧道的界限范围由市级城市管理部门会同交通运输主管部门按照责任清晰、全面覆盖的原则予以确认，报市人民政府备案。</w:t>
      </w:r>
    </w:p>
    <w:p>
      <w:pPr>
        <w:spacing w:line="570" w:lineRule="exact"/>
        <w:ind w:firstLine="640" w:firstLineChars="200"/>
        <w:rPr>
          <w:rFonts w:hint="eastAsia" w:ascii="仿宋_GB2312" w:hAnsi="黑体" w:cs="黑体"/>
          <w:kern w:val="0"/>
        </w:rPr>
      </w:pPr>
      <w:r>
        <w:rPr>
          <w:rFonts w:hint="eastAsia" w:ascii="黑体" w:hAnsi="黑体" w:eastAsia="黑体" w:cs="黑体"/>
          <w:kern w:val="0"/>
        </w:rPr>
        <w:t>第三条</w:t>
      </w:r>
      <w:r>
        <w:rPr>
          <w:rFonts w:hint="eastAsia" w:ascii="仿宋_GB2312" w:hAnsi="黑体" w:cs="黑体"/>
          <w:kern w:val="0"/>
        </w:rPr>
        <w:t xml:space="preserve">  本市城市桥梁、隧道安全管理遵循安全第一、预防为主、管理与养护并重的原则。</w:t>
      </w:r>
    </w:p>
    <w:p>
      <w:pPr>
        <w:spacing w:line="570" w:lineRule="exact"/>
        <w:ind w:firstLine="640" w:firstLineChars="200"/>
        <w:rPr>
          <w:rFonts w:hint="eastAsia" w:ascii="仿宋_GB2312" w:hAnsi="黑体" w:cs="黑体"/>
          <w:kern w:val="0"/>
        </w:rPr>
      </w:pPr>
      <w:r>
        <w:rPr>
          <w:rFonts w:hint="eastAsia" w:ascii="黑体" w:hAnsi="黑体" w:eastAsia="黑体" w:cs="黑体"/>
          <w:kern w:val="0"/>
        </w:rPr>
        <w:t>第四条</w:t>
      </w:r>
      <w:r>
        <w:rPr>
          <w:rFonts w:hint="eastAsia" w:ascii="仿宋_GB2312" w:hAnsi="黑体" w:cs="黑体"/>
          <w:kern w:val="0"/>
        </w:rPr>
        <w:t xml:space="preserve">  市、区人民政府（含开发区、风景区、化工区管委会，下同）应当加强对城市桥梁、隧道安全管理工作的领导，保证检测评估、养护维修等各项资金投入。</w:t>
      </w:r>
    </w:p>
    <w:p>
      <w:pPr>
        <w:spacing w:line="570" w:lineRule="exact"/>
        <w:ind w:firstLine="640" w:firstLineChars="200"/>
        <w:rPr>
          <w:rFonts w:hint="eastAsia" w:ascii="仿宋_GB2312" w:hAnsi="黑体" w:cs="黑体"/>
          <w:kern w:val="0"/>
        </w:rPr>
      </w:pPr>
      <w:r>
        <w:rPr>
          <w:rFonts w:hint="eastAsia" w:ascii="黑体" w:hAnsi="黑体" w:eastAsia="黑体" w:cs="黑体"/>
          <w:kern w:val="0"/>
        </w:rPr>
        <w:t>第五条</w:t>
      </w:r>
      <w:r>
        <w:rPr>
          <w:rFonts w:hint="eastAsia" w:ascii="仿宋_GB2312" w:hAnsi="黑体" w:cs="黑体"/>
          <w:kern w:val="0"/>
        </w:rPr>
        <w:t xml:space="preserve">  市、区城市管理部门是本辖区内城市桥梁、隧道的安全监督管理部门，对本辖区内所有城市桥梁、隧道的安全负有监管责任。其所属的城市桥梁和隧道管理机构具体负责城市桥梁、隧道安全管理日常工作。</w:t>
      </w:r>
    </w:p>
    <w:p>
      <w:pPr>
        <w:spacing w:line="570" w:lineRule="exact"/>
        <w:ind w:firstLine="640" w:firstLineChars="200"/>
        <w:rPr>
          <w:rFonts w:hint="eastAsia" w:ascii="仿宋_GB2312" w:hAnsi="黑体" w:cs="黑体"/>
          <w:kern w:val="0"/>
        </w:rPr>
      </w:pPr>
      <w:r>
        <w:rPr>
          <w:rFonts w:hint="eastAsia" w:ascii="仿宋_GB2312" w:hAnsi="黑体" w:cs="黑体"/>
          <w:kern w:val="0"/>
        </w:rPr>
        <w:t>发展改革、国土规划、城乡建设、安全生产监督、公安、交通运输、水务、财政、园林和林业等部门按照各自职责，做好城市桥梁、隧道安全管理的相关工作。</w:t>
      </w:r>
    </w:p>
    <w:p>
      <w:pPr>
        <w:spacing w:line="570" w:lineRule="exact"/>
        <w:ind w:firstLine="640" w:firstLineChars="200"/>
        <w:rPr>
          <w:rFonts w:hint="eastAsia" w:ascii="仿宋_GB2312" w:hAnsi="黑体" w:cs="黑体"/>
          <w:kern w:val="0"/>
        </w:rPr>
      </w:pPr>
      <w:r>
        <w:rPr>
          <w:rFonts w:hint="eastAsia" w:ascii="黑体" w:hAnsi="黑体" w:eastAsia="黑体" w:cs="黑体"/>
          <w:kern w:val="0"/>
        </w:rPr>
        <w:t>第六条</w:t>
      </w:r>
      <w:r>
        <w:rPr>
          <w:rFonts w:hint="eastAsia" w:ascii="仿宋_GB2312" w:hAnsi="黑体" w:cs="黑体"/>
          <w:kern w:val="0"/>
        </w:rPr>
        <w:t xml:space="preserve">  市、区人民政府投资建设的城市桥梁、隧道，其养护维修责任人（以下简称养护人）为城市管理、水务、园林和林业等部门，具体责任划分由同级人民政府确定；已经出让经营权的城市桥梁、隧道，在经营期限内，其养护人为经营者，经营期满后，由同级人民政府确定养护人；其他城市桥梁、隧道的养护人为产权人。</w:t>
      </w:r>
    </w:p>
    <w:p>
      <w:pPr>
        <w:spacing w:line="570" w:lineRule="exact"/>
        <w:ind w:firstLine="640" w:firstLineChars="200"/>
        <w:rPr>
          <w:rFonts w:hint="eastAsia" w:ascii="仿宋_GB2312" w:hAnsi="黑体" w:cs="黑体"/>
          <w:kern w:val="0"/>
        </w:rPr>
      </w:pPr>
      <w:r>
        <w:rPr>
          <w:rFonts w:hint="eastAsia" w:ascii="黑体" w:hAnsi="Times New Roman" w:eastAsia="黑体" w:cs="Times New Roman"/>
          <w:kern w:val="0"/>
        </w:rPr>
        <w:t>第七条</w:t>
      </w:r>
      <w:r>
        <w:rPr>
          <w:rFonts w:hint="eastAsia" w:ascii="仿宋_GB2312" w:hAnsi="黑体" w:cs="黑体"/>
          <w:kern w:val="0"/>
        </w:rPr>
        <w:t xml:space="preserve">  对政府投资建设的城市桥梁、隧道，同级人民政府应当按年度统一安排检测评估和养护维修经费，并足额及时拨付；已经出让经营权的城市桥梁、隧道，在经营期限内，其检测评估、养护维修等经费由经营者承担；经营期满后，经检测合格依法交还同级人民政府管理。其他城市桥梁、隧道的检测评估、养护维修等经费由产权人承担。</w:t>
      </w:r>
    </w:p>
    <w:p>
      <w:pPr>
        <w:spacing w:line="570" w:lineRule="exact"/>
        <w:ind w:firstLine="640" w:firstLineChars="200"/>
        <w:rPr>
          <w:rFonts w:hint="eastAsia" w:ascii="仿宋_GB2312" w:hAnsi="黑体" w:cs="黑体"/>
          <w:kern w:val="0"/>
        </w:rPr>
      </w:pPr>
      <w:r>
        <w:rPr>
          <w:rFonts w:hint="eastAsia" w:ascii="黑体" w:hAnsi="黑体" w:eastAsia="黑体" w:cs="黑体"/>
          <w:kern w:val="0"/>
        </w:rPr>
        <w:t>第八条</w:t>
      </w:r>
      <w:r>
        <w:rPr>
          <w:rFonts w:hint="eastAsia" w:ascii="仿宋_GB2312" w:hAnsi="黑体" w:cs="黑体"/>
          <w:kern w:val="0"/>
        </w:rPr>
        <w:t xml:space="preserve">  市、区城市管理部门及其城市桥梁、隧道管理机构应当建立安全隐患和违法行为举报制度，接到举报后及时调查，依法处理。</w:t>
      </w:r>
    </w:p>
    <w:p>
      <w:pPr>
        <w:spacing w:line="570" w:lineRule="exact"/>
        <w:ind w:firstLine="640" w:firstLineChars="200"/>
        <w:rPr>
          <w:rFonts w:hint="eastAsia" w:ascii="仿宋_GB2312" w:hAnsi="黑体" w:cs="黑体"/>
          <w:kern w:val="0"/>
        </w:rPr>
      </w:pPr>
    </w:p>
    <w:p>
      <w:pPr>
        <w:spacing w:line="570" w:lineRule="exact"/>
        <w:jc w:val="center"/>
        <w:rPr>
          <w:rFonts w:hint="eastAsia" w:ascii="黑体" w:hAnsi="Times New Roman" w:eastAsia="黑体" w:cs="Times New Roman"/>
          <w:kern w:val="0"/>
        </w:rPr>
      </w:pPr>
      <w:r>
        <w:rPr>
          <w:rFonts w:hint="eastAsia" w:ascii="黑体" w:hAnsi="Times New Roman" w:eastAsia="黑体" w:cs="Times New Roman"/>
          <w:kern w:val="0"/>
        </w:rPr>
        <w:t>第二章  建设移交管理</w:t>
      </w:r>
    </w:p>
    <w:p>
      <w:pPr>
        <w:spacing w:line="570" w:lineRule="exact"/>
        <w:ind w:firstLine="640" w:firstLineChars="200"/>
        <w:rPr>
          <w:rFonts w:hint="eastAsia" w:ascii="仿宋_GB2312" w:hAnsi="黑体" w:cs="黑体"/>
          <w:kern w:val="0"/>
        </w:rPr>
      </w:pPr>
    </w:p>
    <w:p>
      <w:pPr>
        <w:spacing w:line="570" w:lineRule="exact"/>
        <w:ind w:firstLine="640" w:firstLineChars="200"/>
        <w:rPr>
          <w:rFonts w:hint="eastAsia" w:ascii="仿宋_GB2312" w:hAnsi="黑体" w:cs="黑体"/>
          <w:kern w:val="0"/>
        </w:rPr>
      </w:pPr>
      <w:r>
        <w:rPr>
          <w:rFonts w:hint="eastAsia" w:ascii="黑体" w:hAnsi="黑体" w:eastAsia="黑体" w:cs="黑体"/>
          <w:kern w:val="0"/>
        </w:rPr>
        <w:t>第九条</w:t>
      </w:r>
      <w:r>
        <w:rPr>
          <w:rFonts w:hint="eastAsia" w:ascii="仿宋_GB2312" w:hAnsi="黑体" w:cs="黑体"/>
          <w:kern w:val="0"/>
        </w:rPr>
        <w:t xml:space="preserve">  城市桥梁、隧道的规划与建设应当符合国家相关法律、法规的规定。</w:t>
      </w:r>
    </w:p>
    <w:p>
      <w:pPr>
        <w:spacing w:line="570" w:lineRule="exact"/>
        <w:ind w:firstLine="640" w:firstLineChars="200"/>
        <w:rPr>
          <w:rFonts w:hint="eastAsia" w:ascii="仿宋_GB2312" w:hAnsi="黑体" w:cs="黑体"/>
          <w:kern w:val="0"/>
        </w:rPr>
      </w:pPr>
      <w:r>
        <w:rPr>
          <w:rFonts w:hint="eastAsia" w:ascii="黑体" w:hAnsi="黑体" w:eastAsia="黑体" w:cs="黑体"/>
          <w:kern w:val="0"/>
        </w:rPr>
        <w:t>第十条</w:t>
      </w:r>
      <w:r>
        <w:rPr>
          <w:rFonts w:hint="eastAsia" w:ascii="仿宋_GB2312" w:hAnsi="黑体" w:cs="黑体"/>
          <w:kern w:val="0"/>
        </w:rPr>
        <w:t xml:space="preserve">  城市涉水桥、立体交叉桥、高架桥等桥梁应当按照国家规定的相应城市桥梁最高荷载等级规划设计。建设城市道路，应当综合考虑连接该城市道路的城市桥梁、隧道的荷载等级，合理确定城市道路的荷载等级。</w:t>
      </w:r>
    </w:p>
    <w:p>
      <w:pPr>
        <w:spacing w:line="570" w:lineRule="exact"/>
        <w:ind w:firstLine="640" w:firstLineChars="200"/>
        <w:rPr>
          <w:rFonts w:hint="eastAsia" w:ascii="仿宋_GB2312" w:hAnsi="黑体" w:cs="黑体"/>
          <w:kern w:val="0"/>
        </w:rPr>
      </w:pPr>
      <w:r>
        <w:rPr>
          <w:rFonts w:hint="eastAsia" w:ascii="黑体" w:hAnsi="黑体" w:eastAsia="黑体" w:cs="黑体"/>
          <w:kern w:val="0"/>
        </w:rPr>
        <w:t>第十一条</w:t>
      </w:r>
      <w:r>
        <w:rPr>
          <w:rFonts w:hint="eastAsia" w:ascii="仿宋_GB2312" w:hAnsi="黑体" w:cs="黑体"/>
          <w:kern w:val="0"/>
        </w:rPr>
        <w:t xml:space="preserve">  城市桥梁、隧道设计应当充分考虑行人、非机动车通行需求。城市隧道应当设置紧急疏散通道。</w:t>
      </w:r>
    </w:p>
    <w:p>
      <w:pPr>
        <w:spacing w:line="570" w:lineRule="exact"/>
        <w:ind w:firstLine="640" w:firstLineChars="200"/>
        <w:rPr>
          <w:rFonts w:hint="eastAsia" w:ascii="仿宋_GB2312" w:hAnsi="黑体" w:cs="黑体"/>
          <w:kern w:val="0"/>
        </w:rPr>
      </w:pPr>
      <w:r>
        <w:rPr>
          <w:rFonts w:hint="eastAsia" w:ascii="仿宋_GB2312" w:hAnsi="黑体" w:cs="黑体"/>
          <w:kern w:val="0"/>
        </w:rPr>
        <w:t>城市桥梁、隧道封闭和半封闭隔音设施应当采用不燃或者难燃材料，并设置相应消防设施。</w:t>
      </w:r>
    </w:p>
    <w:p>
      <w:pPr>
        <w:spacing w:line="570" w:lineRule="exact"/>
        <w:ind w:firstLine="640" w:firstLineChars="200"/>
        <w:rPr>
          <w:rFonts w:hint="eastAsia" w:ascii="仿宋_GB2312" w:hAnsi="黑体" w:cs="黑体"/>
          <w:kern w:val="0"/>
        </w:rPr>
      </w:pPr>
      <w:r>
        <w:rPr>
          <w:rFonts w:hint="eastAsia" w:ascii="黑体" w:hAnsi="黑体" w:eastAsia="黑体" w:cs="黑体"/>
          <w:kern w:val="0"/>
        </w:rPr>
        <w:t>第十二条</w:t>
      </w:r>
      <w:r>
        <w:rPr>
          <w:rFonts w:hint="eastAsia" w:ascii="仿宋_GB2312" w:hAnsi="黑体" w:cs="黑体"/>
          <w:kern w:val="0"/>
        </w:rPr>
        <w:t xml:space="preserve">  建设单位在组织城市桥梁、隧道建设工程预验收和正式验收时，应当通知城市管理、公安机关交通管理等部门及养护人参加。城市管理、公安机关交通管理等部门及养护人提出的合理意见，建设单位应当予以采纳；不予采纳的，应当书面说明理由。</w:t>
      </w:r>
    </w:p>
    <w:p>
      <w:pPr>
        <w:spacing w:line="570" w:lineRule="exact"/>
        <w:ind w:firstLine="640" w:firstLineChars="200"/>
        <w:rPr>
          <w:rFonts w:hint="eastAsia" w:ascii="仿宋_GB2312" w:hAnsi="黑体" w:cs="黑体"/>
          <w:kern w:val="0"/>
        </w:rPr>
      </w:pPr>
      <w:r>
        <w:rPr>
          <w:rFonts w:hint="eastAsia" w:ascii="仿宋_GB2312" w:hAnsi="黑体" w:cs="黑体"/>
          <w:kern w:val="0"/>
        </w:rPr>
        <w:t>在城市桥梁、隧道验收过程中，建设单位应当对桥梁进行荷载试验；对隧道进行安全性检测，对自动化管理系统进行联调联试。试验、测试结果未达到设计要求的，不得确定为验收合格。</w:t>
      </w:r>
    </w:p>
    <w:p>
      <w:pPr>
        <w:spacing w:line="570" w:lineRule="exact"/>
        <w:ind w:firstLine="640" w:firstLineChars="200"/>
        <w:rPr>
          <w:rFonts w:hint="eastAsia" w:ascii="仿宋_GB2312" w:hAnsi="黑体" w:cs="黑体"/>
          <w:kern w:val="0"/>
        </w:rPr>
      </w:pPr>
      <w:r>
        <w:rPr>
          <w:rFonts w:hint="eastAsia" w:ascii="仿宋_GB2312" w:hAnsi="黑体" w:cs="黑体"/>
          <w:kern w:val="0"/>
        </w:rPr>
        <w:t>城市桥梁、隧道建设工程经竣工验收合格后，方可交付使用。</w:t>
      </w:r>
    </w:p>
    <w:p>
      <w:pPr>
        <w:spacing w:line="570" w:lineRule="exact"/>
        <w:ind w:firstLine="640" w:firstLineChars="200"/>
        <w:rPr>
          <w:rFonts w:hint="eastAsia" w:ascii="仿宋_GB2312" w:hAnsi="黑体" w:cs="黑体"/>
          <w:kern w:val="0"/>
        </w:rPr>
      </w:pPr>
      <w:r>
        <w:rPr>
          <w:rFonts w:hint="eastAsia" w:ascii="黑体" w:hAnsi="黑体" w:eastAsia="黑体" w:cs="黑体"/>
          <w:kern w:val="0"/>
        </w:rPr>
        <w:t>第十三条</w:t>
      </w:r>
      <w:r>
        <w:rPr>
          <w:rFonts w:hint="eastAsia" w:ascii="仿宋_GB2312" w:hAnsi="黑体" w:cs="黑体"/>
          <w:kern w:val="0"/>
        </w:rPr>
        <w:t xml:space="preserve">  城市桥梁、隧道工程按照国家有关规定实行工程质量保修制度。</w:t>
      </w:r>
    </w:p>
    <w:p>
      <w:pPr>
        <w:spacing w:line="570" w:lineRule="exact"/>
        <w:ind w:firstLine="640" w:firstLineChars="200"/>
        <w:rPr>
          <w:rFonts w:hint="eastAsia" w:ascii="仿宋_GB2312" w:hAnsi="黑体" w:cs="黑体"/>
          <w:kern w:val="0"/>
        </w:rPr>
      </w:pPr>
      <w:r>
        <w:rPr>
          <w:rFonts w:hint="eastAsia" w:ascii="仿宋_GB2312" w:hAnsi="黑体" w:cs="黑体"/>
          <w:kern w:val="0"/>
        </w:rPr>
        <w:t>建设单位应当自城市桥梁、隧道交付使用之日起三十日内，书面通知城市管理部门。城市管理部门应当自收到书面通知之日起，依法履行该城市桥梁、隧道的路政管理职责。</w:t>
      </w:r>
    </w:p>
    <w:p>
      <w:pPr>
        <w:spacing w:line="570" w:lineRule="exact"/>
        <w:ind w:firstLine="640" w:firstLineChars="200"/>
        <w:rPr>
          <w:rFonts w:hint="eastAsia" w:ascii="仿宋_GB2312" w:hAnsi="黑体" w:cs="黑体"/>
          <w:kern w:val="0"/>
        </w:rPr>
      </w:pPr>
      <w:r>
        <w:rPr>
          <w:rFonts w:hint="eastAsia" w:ascii="黑体" w:hAnsi="黑体" w:eastAsia="黑体" w:cs="黑体"/>
          <w:kern w:val="0"/>
        </w:rPr>
        <w:t>第十四条</w:t>
      </w:r>
      <w:r>
        <w:rPr>
          <w:rFonts w:hint="eastAsia" w:ascii="仿宋_GB2312" w:hAnsi="黑体" w:cs="黑体"/>
          <w:kern w:val="0"/>
        </w:rPr>
        <w:t xml:space="preserve">  城市桥梁、隧道交付使用后需要移交的，建设单位应当自交付使用之日起三十日内，向养护人移交设计、施工、养护等相关工程建设资料并办理移交手续；养护人拒绝办理移交手续的，应当向建设单位作出书面说明。养护人自办理移交手续完成之日起，承担该城市桥梁、隧道的养护维修责任；城市管理部门自办理移交手续完成之日起，承担该城市桥梁、隧道的安全监督管理责任。</w:t>
      </w:r>
    </w:p>
    <w:p>
      <w:pPr>
        <w:spacing w:line="570" w:lineRule="exact"/>
        <w:ind w:firstLine="640" w:firstLineChars="200"/>
        <w:rPr>
          <w:rFonts w:hint="eastAsia" w:ascii="仿宋_GB2312" w:hAnsi="黑体" w:cs="黑体"/>
          <w:kern w:val="0"/>
        </w:rPr>
      </w:pPr>
      <w:r>
        <w:rPr>
          <w:rFonts w:hint="eastAsia" w:ascii="黑体" w:hAnsi="黑体" w:eastAsia="黑体" w:cs="黑体"/>
          <w:kern w:val="0"/>
        </w:rPr>
        <w:t>第十五条</w:t>
      </w:r>
      <w:r>
        <w:rPr>
          <w:rFonts w:hint="eastAsia" w:ascii="仿宋_GB2312" w:hAnsi="黑体" w:cs="黑体"/>
          <w:kern w:val="0"/>
        </w:rPr>
        <w:t xml:space="preserve">  新建、改建、扩建中型以上或者特殊结构的城市桥梁、隧道，建设单位应当同步建设符合相关规定的城市桥梁、隧道安全信息监控管理系统，实现安全监测自动预警；其他小型城市桥梁、隧道，建设单位应当安装安全监控设施。</w:t>
      </w:r>
    </w:p>
    <w:p>
      <w:pPr>
        <w:spacing w:line="570" w:lineRule="exact"/>
        <w:ind w:firstLine="640" w:firstLineChars="200"/>
        <w:rPr>
          <w:rFonts w:hint="eastAsia" w:ascii="仿宋_GB2312" w:hAnsi="黑体" w:cs="黑体"/>
          <w:kern w:val="0"/>
        </w:rPr>
      </w:pPr>
      <w:r>
        <w:rPr>
          <w:rFonts w:hint="eastAsia" w:ascii="仿宋_GB2312" w:hAnsi="黑体" w:cs="黑体"/>
          <w:kern w:val="0"/>
        </w:rPr>
        <w:t>既有城市桥梁、隧道的养护人应当在市城市管理部门规定的期限内，安装安全信息监控管理系统或设施。</w:t>
      </w:r>
    </w:p>
    <w:p>
      <w:pPr>
        <w:spacing w:line="570" w:lineRule="exact"/>
        <w:ind w:firstLine="640" w:firstLineChars="200"/>
        <w:rPr>
          <w:rFonts w:hint="eastAsia" w:ascii="仿宋_GB2312" w:hAnsi="黑体" w:cs="黑体"/>
          <w:kern w:val="0"/>
        </w:rPr>
      </w:pPr>
      <w:r>
        <w:rPr>
          <w:rFonts w:hint="eastAsia" w:ascii="仿宋_GB2312" w:hAnsi="黑体" w:cs="黑体"/>
          <w:kern w:val="0"/>
        </w:rPr>
        <w:t>市城市管理部门应当建立全市城市桥梁、隧道安全信息监控管理平台。各城市桥梁、隧道安全信息监控管理系统应当统一接入全市城市桥梁、隧道安全信息监控管理平台。</w:t>
      </w:r>
    </w:p>
    <w:p>
      <w:pPr>
        <w:spacing w:line="570" w:lineRule="exact"/>
        <w:ind w:firstLine="640" w:firstLineChars="200"/>
        <w:rPr>
          <w:rFonts w:hint="eastAsia" w:ascii="仿宋_GB2312" w:hAnsi="黑体" w:cs="黑体"/>
          <w:kern w:val="0"/>
        </w:rPr>
      </w:pPr>
    </w:p>
    <w:p>
      <w:pPr>
        <w:spacing w:line="570" w:lineRule="exact"/>
        <w:jc w:val="center"/>
        <w:rPr>
          <w:rFonts w:hint="eastAsia" w:ascii="黑体" w:hAnsi="黑体" w:eastAsia="黑体" w:cs="黑体"/>
          <w:kern w:val="0"/>
        </w:rPr>
      </w:pPr>
      <w:r>
        <w:rPr>
          <w:rFonts w:hint="eastAsia" w:ascii="黑体" w:hAnsi="黑体" w:eastAsia="黑体" w:cs="黑体"/>
          <w:kern w:val="0"/>
        </w:rPr>
        <w:t>第三章  安全使用管理</w:t>
      </w:r>
    </w:p>
    <w:p>
      <w:pPr>
        <w:spacing w:line="570" w:lineRule="exact"/>
        <w:ind w:firstLine="640" w:firstLineChars="200"/>
        <w:rPr>
          <w:rFonts w:hint="eastAsia" w:ascii="仿宋_GB2312" w:hAnsi="黑体" w:cs="黑体"/>
          <w:kern w:val="0"/>
        </w:rPr>
      </w:pPr>
    </w:p>
    <w:p>
      <w:pPr>
        <w:spacing w:line="570" w:lineRule="exact"/>
        <w:ind w:firstLine="640" w:firstLineChars="200"/>
        <w:rPr>
          <w:rFonts w:hint="eastAsia" w:ascii="仿宋_GB2312" w:hAnsi="黑体" w:cs="黑体"/>
          <w:kern w:val="0"/>
        </w:rPr>
      </w:pPr>
      <w:r>
        <w:rPr>
          <w:rFonts w:hint="eastAsia" w:ascii="黑体" w:hAnsi="黑体" w:eastAsia="黑体" w:cs="黑体"/>
          <w:kern w:val="0"/>
        </w:rPr>
        <w:t>第十六条</w:t>
      </w:r>
      <w:r>
        <w:rPr>
          <w:rFonts w:hint="eastAsia" w:ascii="仿宋_GB2312" w:hAnsi="黑体" w:cs="黑体"/>
          <w:kern w:val="0"/>
        </w:rPr>
        <w:t xml:space="preserve">  为维护城市桥梁、隧道的使用安全，城市管理部门可以根据荷载等级、净高要求等向公安机关交通管理部门提出通行限制建议；公安机关交通管理部门确定采取限高、限重、限行等限制措施后，由城市管理部门在相关桥梁、隧道入口处设置相应的标志和设施。设置的标志和设施，不得影响交通通行和城市容貌。</w:t>
      </w:r>
    </w:p>
    <w:p>
      <w:pPr>
        <w:spacing w:line="570" w:lineRule="exact"/>
        <w:ind w:firstLine="640" w:firstLineChars="200"/>
        <w:rPr>
          <w:rFonts w:hint="eastAsia" w:ascii="仿宋_GB2312" w:hAnsi="黑体" w:cs="黑体"/>
          <w:kern w:val="0"/>
        </w:rPr>
      </w:pPr>
      <w:r>
        <w:rPr>
          <w:rFonts w:hint="eastAsia" w:ascii="仿宋_GB2312" w:hAnsi="黑体" w:cs="黑体"/>
          <w:kern w:val="0"/>
        </w:rPr>
        <w:t>城市管理部门应当根据道路交通情况，会同公安机关交通管理部门，在城市桥梁、隧道两侧合理路段划定警示区域，预告前方桥梁、隧道限高、限重等规定，以引导超高、超重车辆驾驶人改变行驶线路或者自行卸载货物。</w:t>
      </w:r>
    </w:p>
    <w:p>
      <w:pPr>
        <w:spacing w:line="570" w:lineRule="exact"/>
        <w:ind w:firstLine="640" w:firstLineChars="200"/>
        <w:rPr>
          <w:rFonts w:hint="eastAsia" w:ascii="仿宋_GB2312" w:hAnsi="黑体" w:cs="黑体"/>
          <w:kern w:val="0"/>
        </w:rPr>
      </w:pPr>
      <w:r>
        <w:rPr>
          <w:rFonts w:hint="eastAsia" w:ascii="仿宋_GB2312" w:hAnsi="黑体" w:cs="黑体"/>
          <w:kern w:val="0"/>
        </w:rPr>
        <w:t>车辆通行城市桥梁、隧道时，应当遵守限高、限重、限行等相关规定。</w:t>
      </w:r>
    </w:p>
    <w:p>
      <w:pPr>
        <w:spacing w:line="570" w:lineRule="exact"/>
        <w:ind w:firstLine="640" w:firstLineChars="200"/>
        <w:rPr>
          <w:rFonts w:hint="eastAsia" w:ascii="仿宋_GB2312" w:hAnsi="黑体" w:cs="黑体"/>
          <w:kern w:val="0"/>
        </w:rPr>
      </w:pPr>
      <w:r>
        <w:rPr>
          <w:rFonts w:hint="eastAsia" w:ascii="黑体" w:hAnsi="黑体" w:eastAsia="黑体" w:cs="黑体"/>
          <w:kern w:val="0"/>
        </w:rPr>
        <w:t xml:space="preserve">第十七条  </w:t>
      </w:r>
      <w:r>
        <w:rPr>
          <w:rFonts w:hint="eastAsia" w:ascii="仿宋_GB2312" w:hAnsi="黑体" w:cs="黑体"/>
          <w:kern w:val="0"/>
        </w:rPr>
        <w:t>履带车、铁轮车或者超重、超高、超长车辆确需通行城市桥梁、隧道的，应当事先征得城市管理部门同意，采取安全措施，并按照公安机关交通管理部门指定的时间、路线行驶。</w:t>
      </w:r>
    </w:p>
    <w:p>
      <w:pPr>
        <w:spacing w:line="570" w:lineRule="exact"/>
        <w:ind w:firstLine="640" w:firstLineChars="200"/>
        <w:rPr>
          <w:rFonts w:hint="eastAsia" w:ascii="仿宋_GB2312" w:hAnsi="黑体" w:cs="黑体"/>
          <w:kern w:val="0"/>
        </w:rPr>
      </w:pPr>
      <w:r>
        <w:rPr>
          <w:rFonts w:hint="eastAsia" w:ascii="黑体" w:hAnsi="黑体" w:eastAsia="黑体" w:cs="黑体"/>
          <w:kern w:val="0"/>
        </w:rPr>
        <w:t>第十八条</w:t>
      </w:r>
      <w:r>
        <w:rPr>
          <w:rFonts w:hint="eastAsia" w:ascii="仿宋_GB2312" w:hAnsi="黑体" w:cs="黑体"/>
          <w:kern w:val="0"/>
        </w:rPr>
        <w:t xml:space="preserve">  在城市桥梁上、隧道内禁止下列行为：</w:t>
      </w:r>
    </w:p>
    <w:p>
      <w:pPr>
        <w:spacing w:line="570" w:lineRule="exact"/>
        <w:ind w:firstLine="640" w:firstLineChars="200"/>
        <w:rPr>
          <w:rFonts w:hint="eastAsia" w:ascii="仿宋_GB2312" w:hAnsi="黑体" w:cs="黑体"/>
          <w:kern w:val="0"/>
        </w:rPr>
      </w:pPr>
      <w:r>
        <w:rPr>
          <w:rFonts w:hint="eastAsia" w:ascii="仿宋_GB2312" w:hAnsi="黑体" w:cs="黑体"/>
          <w:kern w:val="0"/>
        </w:rPr>
        <w:t>（一）擅自修建建(构)筑物或者占用、挖掘桥面和隧道路面；</w:t>
      </w:r>
    </w:p>
    <w:p>
      <w:pPr>
        <w:spacing w:line="570" w:lineRule="exact"/>
        <w:ind w:firstLine="640" w:firstLineChars="200"/>
        <w:rPr>
          <w:rFonts w:hint="eastAsia" w:ascii="仿宋_GB2312" w:hAnsi="黑体" w:cs="黑体"/>
          <w:kern w:val="0"/>
        </w:rPr>
      </w:pPr>
      <w:r>
        <w:rPr>
          <w:rFonts w:hint="eastAsia" w:ascii="仿宋_GB2312" w:hAnsi="黑体" w:cs="黑体"/>
          <w:kern w:val="0"/>
        </w:rPr>
        <w:t>（二）履带车、铁轮车或者超重、超高、超长车辆擅自通行；</w:t>
      </w:r>
    </w:p>
    <w:p>
      <w:pPr>
        <w:spacing w:line="570" w:lineRule="exact"/>
        <w:ind w:firstLine="640" w:firstLineChars="200"/>
        <w:rPr>
          <w:rFonts w:hint="eastAsia" w:ascii="仿宋_GB2312" w:hAnsi="黑体" w:cs="黑体"/>
          <w:kern w:val="0"/>
        </w:rPr>
      </w:pPr>
      <w:r>
        <w:rPr>
          <w:rFonts w:hint="eastAsia" w:ascii="仿宋_GB2312" w:hAnsi="黑体" w:cs="黑体"/>
          <w:kern w:val="0"/>
        </w:rPr>
        <w:t>（三）机动车试刹车；</w:t>
      </w:r>
    </w:p>
    <w:p>
      <w:pPr>
        <w:spacing w:line="570" w:lineRule="exact"/>
        <w:ind w:firstLine="640" w:firstLineChars="200"/>
        <w:rPr>
          <w:rFonts w:hint="eastAsia" w:ascii="仿宋_GB2312" w:hAnsi="黑体" w:cs="黑体"/>
          <w:kern w:val="0"/>
        </w:rPr>
      </w:pPr>
      <w:r>
        <w:rPr>
          <w:rFonts w:hint="eastAsia" w:ascii="仿宋_GB2312" w:hAnsi="黑体" w:cs="黑体"/>
          <w:kern w:val="0"/>
        </w:rPr>
        <w:t>（四）擅自设置户外广告牌或者其他挂浮物；</w:t>
      </w:r>
    </w:p>
    <w:p>
      <w:pPr>
        <w:spacing w:line="570" w:lineRule="exact"/>
        <w:ind w:firstLine="640" w:firstLineChars="200"/>
        <w:rPr>
          <w:rFonts w:hint="eastAsia" w:ascii="仿宋_GB2312" w:hAnsi="黑体" w:cs="黑体"/>
          <w:kern w:val="0"/>
        </w:rPr>
      </w:pPr>
      <w:r>
        <w:rPr>
          <w:rFonts w:hint="eastAsia" w:ascii="仿宋_GB2312" w:hAnsi="黑体" w:cs="黑体"/>
          <w:kern w:val="0"/>
        </w:rPr>
        <w:t>（五）违规明火作业；</w:t>
      </w:r>
    </w:p>
    <w:p>
      <w:pPr>
        <w:spacing w:line="570" w:lineRule="exact"/>
        <w:ind w:firstLine="640" w:firstLineChars="200"/>
        <w:rPr>
          <w:rFonts w:hint="eastAsia" w:ascii="仿宋_GB2312" w:hAnsi="黑体" w:cs="黑体"/>
          <w:kern w:val="0"/>
        </w:rPr>
      </w:pPr>
      <w:r>
        <w:rPr>
          <w:rFonts w:hint="eastAsia" w:ascii="仿宋_GB2312" w:hAnsi="黑体" w:cs="黑体"/>
          <w:kern w:val="0"/>
        </w:rPr>
        <w:t>（六）利用桥梁进行围栏、吊装、牵拉等施工作业(排险、救护、养护维修作业除外)；</w:t>
      </w:r>
    </w:p>
    <w:p>
      <w:pPr>
        <w:spacing w:line="570" w:lineRule="exact"/>
        <w:ind w:firstLine="640" w:firstLineChars="200"/>
        <w:rPr>
          <w:rFonts w:hint="eastAsia" w:ascii="仿宋_GB2312" w:hAnsi="黑体" w:cs="黑体"/>
          <w:kern w:val="0"/>
        </w:rPr>
      </w:pPr>
      <w:r>
        <w:rPr>
          <w:rFonts w:hint="eastAsia" w:ascii="仿宋_GB2312" w:hAnsi="黑体" w:cs="黑体"/>
          <w:kern w:val="0"/>
        </w:rPr>
        <w:t>（七）在桥梁上架设压力超过四千克/平方厘米的燃气管道、电压超过十千伏的高压电力线和其他易燃易爆及有毒有害气体、液体的管道；</w:t>
      </w:r>
    </w:p>
    <w:p>
      <w:pPr>
        <w:spacing w:line="570" w:lineRule="exact"/>
        <w:ind w:firstLine="640" w:firstLineChars="200"/>
        <w:rPr>
          <w:rFonts w:hint="eastAsia" w:ascii="仿宋_GB2312" w:hAnsi="黑体" w:cs="黑体"/>
          <w:kern w:val="0"/>
        </w:rPr>
      </w:pPr>
      <w:r>
        <w:rPr>
          <w:rFonts w:hint="eastAsia" w:ascii="仿宋_GB2312" w:hAnsi="黑体" w:cs="黑体"/>
          <w:kern w:val="0"/>
        </w:rPr>
        <w:t>（八）在隧道内铺设电压超过国家规定的高压电力线和其他易燃易爆及有毒有害气体、液体的管道；</w:t>
      </w:r>
    </w:p>
    <w:p>
      <w:pPr>
        <w:spacing w:line="570" w:lineRule="exact"/>
        <w:ind w:firstLine="640" w:firstLineChars="200"/>
        <w:rPr>
          <w:rFonts w:hint="eastAsia" w:ascii="仿宋_GB2312" w:hAnsi="黑体" w:cs="黑体"/>
          <w:kern w:val="0"/>
        </w:rPr>
      </w:pPr>
      <w:r>
        <w:rPr>
          <w:rFonts w:hint="eastAsia" w:ascii="仿宋_GB2312" w:hAnsi="黑体" w:cs="黑体"/>
          <w:kern w:val="0"/>
        </w:rPr>
        <w:t>（九）在大型隧道内运载易燃易爆、剧毒、放射性等危险物品；</w:t>
      </w:r>
    </w:p>
    <w:p>
      <w:pPr>
        <w:spacing w:line="570" w:lineRule="exact"/>
        <w:ind w:firstLine="640" w:firstLineChars="200"/>
        <w:rPr>
          <w:rFonts w:hint="eastAsia" w:ascii="仿宋_GB2312" w:hAnsi="黑体" w:cs="黑体"/>
          <w:kern w:val="0"/>
        </w:rPr>
      </w:pPr>
      <w:r>
        <w:rPr>
          <w:rFonts w:hint="eastAsia" w:ascii="仿宋_GB2312" w:hAnsi="黑体" w:cs="黑体"/>
          <w:kern w:val="0"/>
        </w:rPr>
        <w:t>（十）其他损害、侵占城市桥梁、隧道的行为。</w:t>
      </w:r>
    </w:p>
    <w:p>
      <w:pPr>
        <w:spacing w:line="570" w:lineRule="exact"/>
        <w:ind w:firstLine="640" w:firstLineChars="200"/>
        <w:rPr>
          <w:rFonts w:hint="eastAsia" w:ascii="仿宋_GB2312" w:hAnsi="黑体" w:cs="黑体"/>
          <w:kern w:val="0"/>
        </w:rPr>
      </w:pPr>
      <w:r>
        <w:rPr>
          <w:rFonts w:hint="eastAsia" w:ascii="黑体" w:hAnsi="黑体" w:eastAsia="黑体" w:cs="黑体"/>
          <w:kern w:val="0"/>
        </w:rPr>
        <w:t>第十九条</w:t>
      </w:r>
      <w:r>
        <w:rPr>
          <w:rFonts w:hint="eastAsia" w:ascii="仿宋_GB2312" w:hAnsi="黑体" w:cs="黑体"/>
          <w:kern w:val="0"/>
        </w:rPr>
        <w:t xml:space="preserve">  设立城市桥梁、隧道安全保护区，其范围按照下列规定划定：</w:t>
      </w:r>
    </w:p>
    <w:p>
      <w:pPr>
        <w:spacing w:line="570" w:lineRule="exact"/>
        <w:ind w:firstLine="640" w:firstLineChars="200"/>
        <w:rPr>
          <w:rFonts w:hint="eastAsia" w:ascii="仿宋_GB2312" w:hAnsi="黑体" w:cs="黑体"/>
          <w:kern w:val="0"/>
        </w:rPr>
      </w:pPr>
      <w:r>
        <w:rPr>
          <w:rFonts w:hint="eastAsia" w:ascii="仿宋_GB2312" w:hAnsi="黑体" w:cs="黑体"/>
          <w:kern w:val="0"/>
        </w:rPr>
        <w:t>（一）中型以上及特殊结构城市桥梁安全保护区为桥下空间、桥梁垂直投影面外侧五十米范围内的陆域和二百米范围内的水域；</w:t>
      </w:r>
    </w:p>
    <w:p>
      <w:pPr>
        <w:spacing w:line="570" w:lineRule="exact"/>
        <w:ind w:firstLine="640" w:firstLineChars="200"/>
        <w:rPr>
          <w:rFonts w:hint="eastAsia" w:ascii="仿宋_GB2312" w:hAnsi="黑体" w:cs="黑体"/>
          <w:kern w:val="0"/>
        </w:rPr>
      </w:pPr>
      <w:r>
        <w:rPr>
          <w:rFonts w:hint="eastAsia" w:ascii="仿宋_GB2312" w:hAnsi="黑体" w:cs="黑体"/>
          <w:kern w:val="0"/>
        </w:rPr>
        <w:t>（二）小型城市桥梁安全保护区为桥下空间和桥梁垂直投影面外侧十米范围内的区域；</w:t>
      </w:r>
    </w:p>
    <w:p>
      <w:pPr>
        <w:spacing w:line="570" w:lineRule="exact"/>
        <w:ind w:firstLine="640" w:firstLineChars="200"/>
        <w:rPr>
          <w:rFonts w:hint="eastAsia" w:ascii="仿宋_GB2312" w:hAnsi="黑体" w:cs="黑体"/>
          <w:kern w:val="0"/>
        </w:rPr>
      </w:pPr>
      <w:r>
        <w:rPr>
          <w:rFonts w:hint="eastAsia" w:ascii="仿宋_GB2312" w:hAnsi="黑体" w:cs="黑体"/>
          <w:kern w:val="0"/>
        </w:rPr>
        <w:t>（三）城市隧道安全保护区为城市隧道陆地段上方垂直区域和结构边线外侧五十米范围内的陆域、水中段上方垂直区域和结构边线外侧二百米范围内的水域。</w:t>
      </w:r>
    </w:p>
    <w:p>
      <w:pPr>
        <w:spacing w:line="570" w:lineRule="exact"/>
        <w:ind w:firstLine="640" w:firstLineChars="200"/>
        <w:rPr>
          <w:rFonts w:hint="eastAsia" w:ascii="仿宋_GB2312" w:hAnsi="黑体" w:cs="黑体"/>
          <w:kern w:val="0"/>
        </w:rPr>
      </w:pPr>
      <w:r>
        <w:rPr>
          <w:rFonts w:hint="eastAsia" w:ascii="黑体" w:hAnsi="黑体" w:eastAsia="黑体" w:cs="黑体"/>
          <w:kern w:val="0"/>
        </w:rPr>
        <w:t>第二十条</w:t>
      </w:r>
      <w:r>
        <w:rPr>
          <w:rFonts w:hint="eastAsia" w:ascii="仿宋_GB2312" w:hAnsi="黑体" w:cs="黑体"/>
          <w:kern w:val="0"/>
        </w:rPr>
        <w:t xml:space="preserve">  在城市桥梁、隧道安全保护区内，除正常的养护维修作业和应急事件处置外，禁止从事下列活动：</w:t>
      </w:r>
    </w:p>
    <w:p>
      <w:pPr>
        <w:spacing w:line="570" w:lineRule="exact"/>
        <w:ind w:firstLine="640" w:firstLineChars="200"/>
        <w:rPr>
          <w:rFonts w:hint="eastAsia" w:ascii="仿宋_GB2312" w:hAnsi="黑体" w:cs="黑体"/>
          <w:kern w:val="0"/>
        </w:rPr>
      </w:pPr>
      <w:r>
        <w:rPr>
          <w:rFonts w:hint="eastAsia" w:ascii="仿宋_GB2312" w:hAnsi="黑体" w:cs="黑体"/>
          <w:kern w:val="0"/>
        </w:rPr>
        <w:t>（一）擅自新建、改建、扩建影响城市桥梁、隧道安全的建（构）筑物；</w:t>
      </w:r>
    </w:p>
    <w:p>
      <w:pPr>
        <w:spacing w:line="570" w:lineRule="exact"/>
        <w:ind w:firstLine="640" w:firstLineChars="200"/>
        <w:rPr>
          <w:rFonts w:hint="eastAsia" w:ascii="仿宋_GB2312" w:hAnsi="黑体" w:cs="黑体"/>
          <w:kern w:val="0"/>
        </w:rPr>
      </w:pPr>
      <w:r>
        <w:rPr>
          <w:rFonts w:hint="eastAsia" w:ascii="仿宋_GB2312" w:hAnsi="黑体" w:cs="黑体"/>
          <w:kern w:val="0"/>
        </w:rPr>
        <w:t>（二）倾倒废弃物；</w:t>
      </w:r>
    </w:p>
    <w:p>
      <w:pPr>
        <w:spacing w:line="570" w:lineRule="exact"/>
        <w:ind w:firstLine="640" w:firstLineChars="200"/>
        <w:rPr>
          <w:rFonts w:hint="eastAsia" w:ascii="仿宋_GB2312" w:hAnsi="黑体" w:cs="黑体"/>
          <w:kern w:val="0"/>
        </w:rPr>
      </w:pPr>
      <w:r>
        <w:rPr>
          <w:rFonts w:hint="eastAsia" w:ascii="仿宋_GB2312" w:hAnsi="黑体" w:cs="黑体"/>
          <w:kern w:val="0"/>
        </w:rPr>
        <w:t>（三）存放易燃易爆、剧毒、放射性等危险物品；</w:t>
      </w:r>
    </w:p>
    <w:p>
      <w:pPr>
        <w:spacing w:line="570" w:lineRule="exact"/>
        <w:ind w:firstLine="640" w:firstLineChars="200"/>
        <w:rPr>
          <w:rFonts w:hint="eastAsia" w:ascii="仿宋_GB2312" w:hAnsi="黑体" w:cs="黑体"/>
          <w:kern w:val="0"/>
        </w:rPr>
      </w:pPr>
      <w:r>
        <w:rPr>
          <w:rFonts w:hint="eastAsia" w:ascii="仿宋_GB2312" w:hAnsi="黑体" w:cs="黑体"/>
          <w:kern w:val="0"/>
        </w:rPr>
        <w:t>（四）擅自从事可能影响城市桥梁、隧道安全的敷设管线、挖掘、钻孔、爆破、桩基施工、地基加固，打井、挖沙、采石、取土、堆土等作业；</w:t>
      </w:r>
    </w:p>
    <w:p>
      <w:pPr>
        <w:spacing w:line="570" w:lineRule="exact"/>
        <w:ind w:firstLine="640" w:firstLineChars="200"/>
        <w:rPr>
          <w:rFonts w:hint="eastAsia" w:ascii="仿宋_GB2312" w:hAnsi="黑体" w:cs="黑体"/>
          <w:kern w:val="0"/>
        </w:rPr>
      </w:pPr>
      <w:r>
        <w:rPr>
          <w:rFonts w:hint="eastAsia" w:ascii="仿宋_GB2312" w:hAnsi="黑体" w:cs="黑体"/>
          <w:kern w:val="0"/>
        </w:rPr>
        <w:t>（五）其他影响城市桥梁、隧道安全的活动。</w:t>
      </w:r>
    </w:p>
    <w:p>
      <w:pPr>
        <w:spacing w:line="570" w:lineRule="exact"/>
        <w:ind w:firstLine="640" w:firstLineChars="200"/>
        <w:rPr>
          <w:rFonts w:hint="eastAsia" w:ascii="仿宋_GB2312" w:hAnsi="黑体" w:cs="黑体"/>
          <w:kern w:val="0"/>
        </w:rPr>
      </w:pPr>
      <w:r>
        <w:rPr>
          <w:rFonts w:hint="eastAsia" w:ascii="仿宋_GB2312" w:hAnsi="黑体" w:cs="黑体"/>
          <w:kern w:val="0"/>
        </w:rPr>
        <w:t>在不影响城市桥梁安全、行洪安全、道路畅通、船舶通航安全和城市景观的情况下，经市、区城市管理部门报同级人民政府同意，桥下空间可以用于公益性用途，但是不得收取费用。</w:t>
      </w:r>
    </w:p>
    <w:p>
      <w:pPr>
        <w:spacing w:line="570" w:lineRule="exact"/>
        <w:ind w:firstLine="640" w:firstLineChars="200"/>
        <w:rPr>
          <w:rFonts w:hint="eastAsia" w:ascii="仿宋_GB2312" w:hAnsi="黑体" w:cs="黑体"/>
          <w:kern w:val="0"/>
        </w:rPr>
      </w:pPr>
      <w:r>
        <w:rPr>
          <w:rFonts w:hint="eastAsia" w:ascii="仿宋_GB2312" w:hAnsi="黑体" w:cs="黑体"/>
          <w:kern w:val="0"/>
        </w:rPr>
        <w:t>不得擅自占用、封闭桥下空间或者改变桥下空间使用用途。</w:t>
      </w:r>
    </w:p>
    <w:p>
      <w:pPr>
        <w:spacing w:line="570" w:lineRule="exact"/>
        <w:ind w:firstLine="640" w:firstLineChars="200"/>
        <w:rPr>
          <w:rFonts w:hint="eastAsia" w:ascii="仿宋_GB2312" w:hAnsi="黑体" w:cs="黑体"/>
          <w:kern w:val="0"/>
        </w:rPr>
      </w:pPr>
      <w:r>
        <w:rPr>
          <w:rFonts w:hint="eastAsia" w:ascii="黑体" w:hAnsi="黑体" w:eastAsia="黑体" w:cs="黑体"/>
          <w:kern w:val="0"/>
        </w:rPr>
        <w:t>第二十一条</w:t>
      </w:r>
      <w:r>
        <w:rPr>
          <w:rFonts w:hint="eastAsia" w:ascii="仿宋_GB2312" w:hAnsi="黑体" w:cs="黑体"/>
          <w:kern w:val="0"/>
        </w:rPr>
        <w:t xml:space="preserve">  在城市桥梁、隧道安全保护区内进行下列作业，有关主管部门在办理建筑工程施工、占道挖掘、爆破作业等行政许可时，应当就申请人的作业方案和安全防护方案书面征求城市管理部门的意见：</w:t>
      </w:r>
    </w:p>
    <w:p>
      <w:pPr>
        <w:spacing w:line="570" w:lineRule="exact"/>
        <w:ind w:firstLine="640" w:firstLineChars="200"/>
        <w:rPr>
          <w:rFonts w:hint="eastAsia" w:ascii="仿宋_GB2312" w:hAnsi="黑体" w:cs="黑体"/>
          <w:kern w:val="0"/>
        </w:rPr>
      </w:pPr>
      <w:r>
        <w:rPr>
          <w:rFonts w:hint="eastAsia" w:ascii="仿宋_GB2312" w:hAnsi="黑体" w:cs="黑体"/>
          <w:kern w:val="0"/>
        </w:rPr>
        <w:t>（一）新建、改建、扩建或者拆除建（构）筑物；</w:t>
      </w:r>
    </w:p>
    <w:p>
      <w:pPr>
        <w:spacing w:line="570" w:lineRule="exact"/>
        <w:ind w:firstLine="640" w:firstLineChars="200"/>
        <w:rPr>
          <w:rFonts w:hint="eastAsia" w:ascii="仿宋_GB2312" w:hAnsi="黑体" w:cs="黑体"/>
          <w:kern w:val="0"/>
        </w:rPr>
      </w:pPr>
      <w:r>
        <w:rPr>
          <w:rFonts w:hint="eastAsia" w:ascii="仿宋_GB2312" w:hAnsi="黑体" w:cs="黑体"/>
          <w:kern w:val="0"/>
        </w:rPr>
        <w:t>（二）敷设管线、挖掘、钻孔、爆破、桩基施工、地基加固；</w:t>
      </w:r>
    </w:p>
    <w:p>
      <w:pPr>
        <w:spacing w:line="570" w:lineRule="exact"/>
        <w:ind w:firstLine="640" w:firstLineChars="200"/>
        <w:rPr>
          <w:rFonts w:hint="eastAsia" w:ascii="仿宋_GB2312" w:hAnsi="黑体" w:cs="黑体"/>
          <w:kern w:val="0"/>
        </w:rPr>
      </w:pPr>
      <w:r>
        <w:rPr>
          <w:rFonts w:hint="eastAsia" w:ascii="仿宋_GB2312" w:hAnsi="黑体" w:cs="黑体"/>
          <w:kern w:val="0"/>
        </w:rPr>
        <w:t>（三）打井、挖沙、采石、取土、堆土；</w:t>
      </w:r>
    </w:p>
    <w:p>
      <w:pPr>
        <w:spacing w:line="570" w:lineRule="exact"/>
        <w:ind w:firstLine="640" w:firstLineChars="200"/>
        <w:rPr>
          <w:rFonts w:hint="eastAsia" w:ascii="仿宋_GB2312" w:hAnsi="黑体" w:cs="黑体"/>
          <w:kern w:val="0"/>
        </w:rPr>
      </w:pPr>
      <w:r>
        <w:rPr>
          <w:rFonts w:hint="eastAsia" w:ascii="仿宋_GB2312" w:hAnsi="黑体" w:cs="黑体"/>
          <w:kern w:val="0"/>
        </w:rPr>
        <w:t>（四）其他影响城市桥梁、隧道安全的作业。</w:t>
      </w:r>
    </w:p>
    <w:p>
      <w:pPr>
        <w:spacing w:line="570" w:lineRule="exact"/>
        <w:ind w:firstLine="640" w:firstLineChars="200"/>
        <w:rPr>
          <w:rFonts w:hint="eastAsia" w:ascii="仿宋_GB2312" w:hAnsi="黑体" w:cs="黑体"/>
          <w:kern w:val="0"/>
        </w:rPr>
      </w:pPr>
      <w:r>
        <w:rPr>
          <w:rFonts w:hint="eastAsia" w:ascii="仿宋_GB2312" w:hAnsi="黑体" w:cs="黑体"/>
          <w:kern w:val="0"/>
        </w:rPr>
        <w:t>上述作业方案和安全防护方案应当由具有专业资质的单位编制。对技术复杂的或者对城市桥梁、隧道安全有影响的作业，有关主管部门应当组织专家进行评审。</w:t>
      </w:r>
    </w:p>
    <w:p>
      <w:pPr>
        <w:spacing w:line="570" w:lineRule="exact"/>
        <w:ind w:firstLine="640" w:firstLineChars="200"/>
        <w:rPr>
          <w:rFonts w:hint="eastAsia" w:ascii="仿宋_GB2312" w:hAnsi="黑体" w:cs="黑体"/>
          <w:kern w:val="0"/>
        </w:rPr>
      </w:pPr>
      <w:r>
        <w:rPr>
          <w:rFonts w:hint="eastAsia" w:ascii="仿宋_GB2312" w:hAnsi="黑体" w:cs="黑体"/>
          <w:kern w:val="0"/>
        </w:rPr>
        <w:t>城市管理部门对上述作业方案和安全防护方案进行技术审查，应当自受理之日起五个工作日内出具书面技术审查意见。</w:t>
      </w:r>
    </w:p>
    <w:p>
      <w:pPr>
        <w:spacing w:line="570" w:lineRule="exact"/>
        <w:ind w:firstLine="640" w:firstLineChars="200"/>
        <w:rPr>
          <w:rFonts w:hint="eastAsia" w:ascii="仿宋_GB2312" w:hAnsi="黑体" w:cs="黑体"/>
          <w:kern w:val="0"/>
        </w:rPr>
      </w:pPr>
      <w:r>
        <w:rPr>
          <w:rFonts w:hint="eastAsia" w:ascii="黑体" w:hAnsi="黑体" w:eastAsia="黑体" w:cs="黑体"/>
          <w:kern w:val="0"/>
        </w:rPr>
        <w:t xml:space="preserve">第二十二条  </w:t>
      </w:r>
      <w:r>
        <w:rPr>
          <w:rFonts w:hint="eastAsia" w:ascii="仿宋_GB2312" w:hAnsi="黑体" w:cs="黑体"/>
          <w:kern w:val="0"/>
        </w:rPr>
        <w:t>作业单位或者个人进行本条例第二十条第一款所列各项作业时，应当经养护人同意，并与其签订安全保护协议。作业单位或者个人应当严格按照作业方案、安全防护方案和安全保护协议组织施工。</w:t>
      </w:r>
    </w:p>
    <w:p>
      <w:pPr>
        <w:spacing w:line="570" w:lineRule="exact"/>
        <w:ind w:firstLine="640" w:firstLineChars="200"/>
        <w:rPr>
          <w:rFonts w:hint="eastAsia" w:ascii="仿宋_GB2312" w:hAnsi="黑体" w:cs="黑体"/>
          <w:kern w:val="0"/>
        </w:rPr>
      </w:pPr>
      <w:r>
        <w:rPr>
          <w:rFonts w:hint="eastAsia" w:ascii="仿宋_GB2312" w:hAnsi="黑体" w:cs="黑体"/>
          <w:kern w:val="0"/>
        </w:rPr>
        <w:t>作业单位或者个人应当委托具有相应资质的检测机构对施工作业进行跟踪监测，并向养护人报送书面监测报告；监测报告结果显示施工作业可能影响城市桥梁、隧道安全运行的，作业单位或者个人应当采取措施消除影响。</w:t>
      </w:r>
    </w:p>
    <w:p>
      <w:pPr>
        <w:spacing w:line="570" w:lineRule="exact"/>
        <w:ind w:firstLine="640" w:firstLineChars="200"/>
        <w:rPr>
          <w:rFonts w:hint="eastAsia" w:ascii="仿宋_GB2312" w:hAnsi="黑体" w:cs="黑体"/>
          <w:kern w:val="0"/>
        </w:rPr>
      </w:pPr>
      <w:r>
        <w:rPr>
          <w:rFonts w:hint="eastAsia" w:ascii="仿宋_GB2312" w:hAnsi="黑体" w:cs="黑体"/>
          <w:kern w:val="0"/>
        </w:rPr>
        <w:t>养护人有权对作业的安全性进行监督，发现有危及或者可能危及城市桥梁、隧道安全情形的，应当要求作业单位或者个人停止作业，采取措施消除危害，并向相应的主管部门报告；对不需要行政许可的作业，向城市管理部门报告。接到报告的部门应当依法及时处理。</w:t>
      </w:r>
    </w:p>
    <w:p>
      <w:pPr>
        <w:spacing w:line="570" w:lineRule="exact"/>
        <w:ind w:firstLine="640" w:firstLineChars="200"/>
        <w:rPr>
          <w:rFonts w:hint="eastAsia" w:ascii="仿宋_GB2312" w:hAnsi="黑体" w:cs="黑体"/>
          <w:kern w:val="0"/>
        </w:rPr>
      </w:pPr>
      <w:r>
        <w:rPr>
          <w:rFonts w:hint="eastAsia" w:ascii="仿宋_GB2312" w:hAnsi="黑体" w:cs="黑体"/>
          <w:kern w:val="0"/>
        </w:rPr>
        <w:t>需临时占用城市桥梁、隧道安全保护区的，应当经养护人同意，并签订安全保护协议。</w:t>
      </w:r>
    </w:p>
    <w:p>
      <w:pPr>
        <w:spacing w:line="570" w:lineRule="exact"/>
        <w:ind w:firstLine="640" w:firstLineChars="200"/>
        <w:rPr>
          <w:rFonts w:hint="eastAsia" w:ascii="仿宋_GB2312" w:hAnsi="黑体" w:cs="黑体"/>
          <w:kern w:val="0"/>
        </w:rPr>
      </w:pPr>
      <w:r>
        <w:rPr>
          <w:rFonts w:hint="eastAsia" w:ascii="黑体" w:hAnsi="黑体" w:eastAsia="黑体" w:cs="黑体"/>
          <w:kern w:val="0"/>
        </w:rPr>
        <w:t>第二十三条</w:t>
      </w:r>
      <w:r>
        <w:rPr>
          <w:rFonts w:hint="eastAsia" w:ascii="仿宋_GB2312" w:hAnsi="黑体" w:cs="黑体"/>
          <w:kern w:val="0"/>
        </w:rPr>
        <w:t xml:space="preserve">  养护人应当在城市桥梁、隧道显著位置公示城市桥梁、隧道的养护人、管理机构、联系方式、安全保护区范围等与安全管理密切相关的信息。</w:t>
      </w:r>
    </w:p>
    <w:p>
      <w:pPr>
        <w:spacing w:line="570" w:lineRule="exact"/>
        <w:ind w:firstLine="640" w:firstLineChars="200"/>
        <w:rPr>
          <w:rFonts w:hint="eastAsia" w:ascii="仿宋_GB2312" w:hAnsi="黑体" w:cs="黑体"/>
          <w:kern w:val="0"/>
        </w:rPr>
      </w:pPr>
    </w:p>
    <w:p>
      <w:pPr>
        <w:spacing w:line="570" w:lineRule="exact"/>
        <w:jc w:val="center"/>
        <w:rPr>
          <w:rFonts w:hint="eastAsia" w:ascii="黑体" w:hAnsi="黑体" w:eastAsia="黑体" w:cs="黑体"/>
          <w:kern w:val="0"/>
        </w:rPr>
      </w:pPr>
      <w:r>
        <w:rPr>
          <w:rFonts w:hint="eastAsia" w:ascii="黑体" w:hAnsi="黑体" w:eastAsia="黑体" w:cs="黑体"/>
          <w:kern w:val="0"/>
        </w:rPr>
        <w:t>第四章  检测维护管理</w:t>
      </w:r>
    </w:p>
    <w:p>
      <w:pPr>
        <w:spacing w:line="570" w:lineRule="exact"/>
        <w:ind w:firstLine="640" w:firstLineChars="200"/>
        <w:rPr>
          <w:rFonts w:hint="eastAsia" w:ascii="仿宋_GB2312" w:hAnsi="黑体" w:cs="黑体"/>
          <w:kern w:val="0"/>
        </w:rPr>
      </w:pPr>
    </w:p>
    <w:p>
      <w:pPr>
        <w:spacing w:line="570" w:lineRule="exact"/>
        <w:ind w:firstLine="640" w:firstLineChars="200"/>
        <w:rPr>
          <w:rFonts w:hint="eastAsia" w:ascii="仿宋_GB2312" w:hAnsi="黑体" w:cs="黑体"/>
          <w:kern w:val="0"/>
        </w:rPr>
      </w:pPr>
      <w:r>
        <w:rPr>
          <w:rFonts w:hint="eastAsia" w:ascii="黑体" w:hAnsi="黑体" w:eastAsia="黑体" w:cs="黑体"/>
          <w:kern w:val="0"/>
        </w:rPr>
        <w:t>第二十四条</w:t>
      </w:r>
      <w:r>
        <w:rPr>
          <w:rFonts w:hint="eastAsia" w:ascii="仿宋_GB2312" w:hAnsi="黑体" w:cs="黑体"/>
          <w:kern w:val="0"/>
        </w:rPr>
        <w:t xml:space="preserve">  城市管理部门应当编制城市桥梁、隧道养护维修中长期规划和年度计划，建立健全城市桥梁、隧道安全检测评估制度，指导和监督养护人按照国家有关规定对城市桥梁、隧道进行安全检测评估。</w:t>
      </w:r>
    </w:p>
    <w:p>
      <w:pPr>
        <w:spacing w:line="570" w:lineRule="exact"/>
        <w:ind w:firstLine="640" w:firstLineChars="200"/>
        <w:rPr>
          <w:rFonts w:hint="eastAsia" w:ascii="仿宋_GB2312" w:hAnsi="黑体" w:cs="黑体"/>
          <w:kern w:val="0"/>
        </w:rPr>
      </w:pPr>
      <w:r>
        <w:rPr>
          <w:rFonts w:hint="eastAsia" w:ascii="黑体" w:hAnsi="黑体" w:eastAsia="黑体" w:cs="黑体"/>
          <w:kern w:val="0"/>
        </w:rPr>
        <w:t>第二十五条</w:t>
      </w:r>
      <w:r>
        <w:rPr>
          <w:rFonts w:hint="eastAsia" w:ascii="仿宋_GB2312" w:hAnsi="黑体" w:cs="黑体"/>
          <w:kern w:val="0"/>
        </w:rPr>
        <w:t xml:space="preserve">  养护人应当按照相关技术规范，对其负责的城市桥梁、隧道制定养护维修计划并进行经常性检查、定期安全检测评估，组织对通风、照明、排水、电力、通讯、消防等设施的日常巡查，及时养护维修，保障城市桥梁、隧道设施完好，处于正常使用状态。</w:t>
      </w:r>
    </w:p>
    <w:p>
      <w:pPr>
        <w:spacing w:line="570" w:lineRule="exact"/>
        <w:ind w:firstLine="640" w:firstLineChars="200"/>
        <w:rPr>
          <w:rFonts w:hint="eastAsia" w:ascii="仿宋_GB2312" w:hAnsi="黑体" w:cs="黑体"/>
          <w:kern w:val="0"/>
        </w:rPr>
      </w:pPr>
      <w:r>
        <w:rPr>
          <w:rFonts w:hint="eastAsia" w:ascii="仿宋_GB2312" w:hAnsi="黑体" w:cs="黑体"/>
          <w:kern w:val="0"/>
        </w:rPr>
        <w:t>城市桥梁、隧道出现较重病害，遭遇地震、洪涝等自然灾害或者车船撞击等事故后，养护人应当及时进行专项安全检测评估。</w:t>
      </w:r>
    </w:p>
    <w:p>
      <w:pPr>
        <w:spacing w:line="570" w:lineRule="exact"/>
        <w:ind w:firstLine="640" w:firstLineChars="200"/>
        <w:rPr>
          <w:rFonts w:hint="eastAsia" w:ascii="仿宋_GB2312" w:hAnsi="黑体" w:cs="黑体"/>
          <w:kern w:val="0"/>
        </w:rPr>
      </w:pPr>
      <w:r>
        <w:rPr>
          <w:rFonts w:hint="eastAsia" w:ascii="仿宋_GB2312" w:hAnsi="黑体" w:cs="黑体"/>
          <w:kern w:val="0"/>
        </w:rPr>
        <w:t>城市桥梁、隧道的定期安全检测评估和专项安全检测评估应当委托具有相应资质的专业机构承担。</w:t>
      </w:r>
    </w:p>
    <w:p>
      <w:pPr>
        <w:spacing w:line="570" w:lineRule="exact"/>
        <w:ind w:firstLine="640" w:firstLineChars="200"/>
        <w:rPr>
          <w:rFonts w:hint="eastAsia" w:ascii="仿宋_GB2312" w:hAnsi="黑体" w:cs="黑体"/>
          <w:kern w:val="0"/>
        </w:rPr>
      </w:pPr>
      <w:r>
        <w:rPr>
          <w:rFonts w:hint="eastAsia" w:ascii="黑体" w:hAnsi="黑体" w:eastAsia="黑体" w:cs="黑体"/>
          <w:kern w:val="0"/>
        </w:rPr>
        <w:t>第二十六条</w:t>
      </w:r>
      <w:r>
        <w:rPr>
          <w:rFonts w:hint="eastAsia" w:ascii="仿宋_GB2312" w:hAnsi="黑体" w:cs="黑体"/>
          <w:kern w:val="0"/>
        </w:rPr>
        <w:t xml:space="preserve">  养护人应当将定期安全检测评估和专项安全检测评估结果报送市、区城市管理部门。</w:t>
      </w:r>
    </w:p>
    <w:p>
      <w:pPr>
        <w:spacing w:line="570" w:lineRule="exact"/>
        <w:ind w:firstLine="640" w:firstLineChars="200"/>
        <w:rPr>
          <w:rFonts w:hint="eastAsia" w:ascii="仿宋_GB2312" w:hAnsi="黑体" w:cs="黑体"/>
          <w:kern w:val="0"/>
        </w:rPr>
      </w:pPr>
      <w:r>
        <w:rPr>
          <w:rFonts w:hint="eastAsia" w:ascii="仿宋_GB2312" w:hAnsi="黑体" w:cs="黑体"/>
          <w:kern w:val="0"/>
        </w:rPr>
        <w:t>市城市管理部门应当根据养护人报送的安全检测评估结果，及时公布本市城市桥梁、隧道安全状态信息。</w:t>
      </w:r>
    </w:p>
    <w:p>
      <w:pPr>
        <w:spacing w:line="570" w:lineRule="exact"/>
        <w:ind w:firstLine="640" w:firstLineChars="200"/>
        <w:rPr>
          <w:rFonts w:hint="eastAsia" w:ascii="仿宋_GB2312" w:hAnsi="黑体" w:cs="黑体"/>
          <w:kern w:val="0"/>
        </w:rPr>
      </w:pPr>
      <w:r>
        <w:rPr>
          <w:rFonts w:hint="eastAsia" w:ascii="黑体" w:hAnsi="黑体" w:eastAsia="黑体" w:cs="黑体"/>
          <w:kern w:val="0"/>
        </w:rPr>
        <w:t>第二十七条</w:t>
      </w:r>
      <w:r>
        <w:rPr>
          <w:rFonts w:hint="eastAsia" w:ascii="仿宋_GB2312" w:hAnsi="黑体" w:cs="黑体"/>
          <w:kern w:val="0"/>
        </w:rPr>
        <w:t xml:space="preserve">  经检测评估，城市桥梁、隧道技术状况评定为不合格状态的，养护人应当及时降低通行荷载标准，采取限高、限宽、限重等措施，设置安全警示标志，进行加固等处理。</w:t>
      </w:r>
    </w:p>
    <w:p>
      <w:pPr>
        <w:spacing w:line="570" w:lineRule="exact"/>
        <w:ind w:firstLine="640" w:firstLineChars="200"/>
        <w:rPr>
          <w:rFonts w:hint="eastAsia" w:ascii="仿宋_GB2312" w:hAnsi="黑体" w:cs="黑体"/>
          <w:kern w:val="0"/>
        </w:rPr>
      </w:pPr>
      <w:r>
        <w:rPr>
          <w:rFonts w:hint="eastAsia" w:ascii="仿宋_GB2312" w:hAnsi="黑体" w:cs="黑体"/>
          <w:kern w:val="0"/>
        </w:rPr>
        <w:t>经检测评估，城市桥梁、隧道技术状况评定为危险级状态，或者城市桥梁、隧道出现塌陷、断裂等突发情形的，养护人应当设置明显的安全警示标志，并立即报告所在区城市管理部门和公安机关交通管理部门，公安机关交通管理部门应当采取相应的交通管制措施；危及通航安全的，还应当向地方海事管理机构报告；需要封闭城市桥梁、隧道以及相关水域的，公安机关交通管理部门或者地方海事管理机构应当及时发布有关通告。</w:t>
      </w:r>
    </w:p>
    <w:p>
      <w:pPr>
        <w:spacing w:line="570" w:lineRule="exact"/>
        <w:ind w:firstLine="640" w:firstLineChars="200"/>
        <w:rPr>
          <w:rFonts w:hint="eastAsia" w:ascii="仿宋_GB2312" w:hAnsi="黑体" w:cs="黑体"/>
          <w:kern w:val="0"/>
        </w:rPr>
      </w:pPr>
      <w:r>
        <w:rPr>
          <w:rFonts w:hint="eastAsia" w:ascii="黑体" w:hAnsi="黑体" w:eastAsia="黑体" w:cs="黑体"/>
          <w:kern w:val="0"/>
        </w:rPr>
        <w:t>第二十八条</w:t>
      </w:r>
      <w:r>
        <w:rPr>
          <w:rFonts w:hint="eastAsia" w:ascii="仿宋_GB2312" w:hAnsi="黑体" w:cs="黑体"/>
          <w:kern w:val="0"/>
        </w:rPr>
        <w:t xml:space="preserve">  城市管理部门应当建立预警和应急机制，制订城市桥梁、隧道突发事件应急预案。</w:t>
      </w:r>
    </w:p>
    <w:p>
      <w:pPr>
        <w:spacing w:line="570" w:lineRule="exact"/>
        <w:ind w:firstLine="640" w:firstLineChars="200"/>
        <w:rPr>
          <w:rFonts w:hint="eastAsia" w:ascii="仿宋_GB2312" w:hAnsi="黑体" w:cs="黑体"/>
          <w:kern w:val="0"/>
        </w:rPr>
      </w:pPr>
      <w:r>
        <w:rPr>
          <w:rFonts w:hint="eastAsia" w:ascii="仿宋_GB2312" w:hAnsi="黑体" w:cs="黑体"/>
          <w:kern w:val="0"/>
        </w:rPr>
        <w:t>城市管理、水务、公安消防等部门及养护人应当按照各自职责定期开展桥梁、隧道垮塌事故、洪涝、消防等突发事件应急演练，提高应对突发事件的处理能力。</w:t>
      </w:r>
    </w:p>
    <w:p>
      <w:pPr>
        <w:spacing w:line="570" w:lineRule="exact"/>
        <w:ind w:firstLine="640" w:firstLineChars="200"/>
        <w:rPr>
          <w:rFonts w:hint="eastAsia" w:ascii="仿宋_GB2312" w:hAnsi="黑体" w:cs="黑体"/>
          <w:kern w:val="0"/>
        </w:rPr>
      </w:pPr>
      <w:r>
        <w:rPr>
          <w:rFonts w:hint="eastAsia" w:ascii="仿宋_GB2312" w:hAnsi="黑体" w:cs="黑体"/>
          <w:kern w:val="0"/>
        </w:rPr>
        <w:t>大型城市隧道养护人应当配备与隧道救援、排涝、消防和应对气象灾害要求相适应的设施和物资，并确保处于良好的技术状态和使用状态，做好突发事件的应急处置工作。</w:t>
      </w:r>
    </w:p>
    <w:p>
      <w:pPr>
        <w:spacing w:line="570" w:lineRule="exact"/>
        <w:ind w:firstLine="640" w:firstLineChars="200"/>
        <w:rPr>
          <w:rFonts w:hint="eastAsia" w:ascii="仿宋_GB2312" w:hAnsi="黑体" w:cs="黑体"/>
          <w:kern w:val="0"/>
        </w:rPr>
      </w:pPr>
      <w:r>
        <w:rPr>
          <w:rFonts w:hint="eastAsia" w:ascii="仿宋_GB2312" w:hAnsi="黑体" w:cs="黑体"/>
          <w:kern w:val="0"/>
        </w:rPr>
        <w:t>城市桥梁、隧道发生突发事件后，有关单位应当按照应急预案实施抢险和应急保障。</w:t>
      </w:r>
    </w:p>
    <w:p>
      <w:pPr>
        <w:spacing w:line="570" w:lineRule="exact"/>
        <w:ind w:firstLine="640" w:firstLineChars="200"/>
        <w:rPr>
          <w:rFonts w:hint="eastAsia" w:ascii="仿宋_GB2312" w:hAnsi="黑体" w:cs="黑体"/>
          <w:kern w:val="0"/>
        </w:rPr>
      </w:pPr>
      <w:r>
        <w:rPr>
          <w:rFonts w:hint="eastAsia" w:ascii="黑体" w:hAnsi="黑体" w:eastAsia="黑体" w:cs="黑体"/>
          <w:kern w:val="0"/>
        </w:rPr>
        <w:t>第二十九条</w:t>
      </w:r>
      <w:r>
        <w:rPr>
          <w:rFonts w:hint="eastAsia" w:ascii="仿宋_GB2312" w:hAnsi="黑体" w:cs="黑体"/>
          <w:kern w:val="0"/>
        </w:rPr>
        <w:t xml:space="preserve">  城市桥梁、隧道养护维修的专用车辆，应当使用统一标志；开展常规养护维修作业应当避让交通高峰时段。紧急抢修时，养护维修作业车辆在确保交通安全的前提下，可以不受时间、行驶路线、行驶方向、交通标志标线的限制。</w:t>
      </w:r>
    </w:p>
    <w:p>
      <w:pPr>
        <w:spacing w:line="570" w:lineRule="exact"/>
        <w:ind w:firstLine="640" w:firstLineChars="200"/>
        <w:rPr>
          <w:rFonts w:hint="eastAsia" w:ascii="仿宋_GB2312" w:hAnsi="黑体" w:cs="黑体"/>
          <w:kern w:val="0"/>
        </w:rPr>
      </w:pPr>
      <w:r>
        <w:rPr>
          <w:rFonts w:hint="eastAsia" w:ascii="黑体" w:hAnsi="黑体" w:eastAsia="黑体" w:cs="黑体"/>
          <w:kern w:val="0"/>
        </w:rPr>
        <w:t>第三十条</w:t>
      </w:r>
      <w:r>
        <w:rPr>
          <w:rFonts w:hint="eastAsia" w:ascii="仿宋_GB2312" w:hAnsi="黑体" w:cs="黑体"/>
          <w:kern w:val="0"/>
        </w:rPr>
        <w:t xml:space="preserve">  城市桥梁、隧道养护维修工程施工现场应当设置明显的作业标志和安全防护设施，并按照规定的期限修复竣工，不得影响行人和车辆通行安全。</w:t>
      </w:r>
    </w:p>
    <w:p>
      <w:pPr>
        <w:spacing w:line="570" w:lineRule="exact"/>
        <w:ind w:firstLine="640" w:firstLineChars="200"/>
        <w:rPr>
          <w:rFonts w:hint="eastAsia" w:ascii="仿宋_GB2312" w:hAnsi="黑体" w:cs="黑体"/>
          <w:kern w:val="0"/>
        </w:rPr>
      </w:pPr>
      <w:r>
        <w:rPr>
          <w:rFonts w:hint="eastAsia" w:ascii="仿宋_GB2312" w:hAnsi="黑体" w:cs="黑体"/>
          <w:kern w:val="0"/>
        </w:rPr>
        <w:t>城市桥梁、隧道养护维修作业应当采用低噪声、防扬尘的施工设备和施工方法。施工作业完成后，养护人应当督促施工单位迅速清除障碍物等安全隐患，符合通行要求的，及时恢复交通。</w:t>
      </w:r>
    </w:p>
    <w:p>
      <w:pPr>
        <w:spacing w:line="570" w:lineRule="exact"/>
        <w:ind w:firstLine="640" w:firstLineChars="200"/>
        <w:rPr>
          <w:rFonts w:hint="eastAsia" w:ascii="仿宋_GB2312" w:hAnsi="黑体" w:cs="黑体"/>
          <w:kern w:val="0"/>
        </w:rPr>
      </w:pPr>
      <w:r>
        <w:rPr>
          <w:rFonts w:hint="eastAsia" w:ascii="黑体" w:hAnsi="黑体" w:eastAsia="黑体" w:cs="黑体"/>
          <w:kern w:val="0"/>
        </w:rPr>
        <w:t>第三十一条</w:t>
      </w:r>
      <w:r>
        <w:rPr>
          <w:rFonts w:hint="eastAsia" w:ascii="仿宋_GB2312" w:hAnsi="黑体" w:cs="黑体"/>
          <w:kern w:val="0"/>
        </w:rPr>
        <w:t xml:space="preserve">  设置在城市桥梁上、隧道内的各类管线及其检查井、箱盖等附属设施，应当符合城市桥梁、隧道设施养护要求及管线设置的技术规范。</w:t>
      </w:r>
    </w:p>
    <w:p>
      <w:pPr>
        <w:spacing w:line="570" w:lineRule="exact"/>
        <w:ind w:firstLine="640" w:firstLineChars="200"/>
        <w:rPr>
          <w:rFonts w:hint="eastAsia" w:ascii="仿宋_GB2312" w:hAnsi="黑体" w:cs="黑体"/>
          <w:kern w:val="0"/>
        </w:rPr>
      </w:pPr>
      <w:r>
        <w:rPr>
          <w:rFonts w:hint="eastAsia" w:ascii="仿宋_GB2312" w:hAnsi="黑体" w:cs="黑体"/>
          <w:kern w:val="0"/>
        </w:rPr>
        <w:t>管线权属单位应当加强日常巡查与维护，对所属管线及其附属设施的安全运行负责。管线及其附属设施破损、老化、缺失的，应当及时修复和补缺。</w:t>
      </w:r>
    </w:p>
    <w:p>
      <w:pPr>
        <w:spacing w:line="570" w:lineRule="exact"/>
        <w:ind w:firstLine="640" w:firstLineChars="200"/>
        <w:rPr>
          <w:rFonts w:hint="eastAsia" w:ascii="仿宋_GB2312" w:hAnsi="黑体" w:cs="黑体"/>
          <w:kern w:val="0"/>
        </w:rPr>
      </w:pPr>
    </w:p>
    <w:p>
      <w:pPr>
        <w:spacing w:line="570" w:lineRule="exact"/>
        <w:jc w:val="center"/>
        <w:rPr>
          <w:rFonts w:hint="eastAsia" w:ascii="黑体" w:hAnsi="黑体" w:eastAsia="黑体" w:cs="黑体"/>
          <w:kern w:val="0"/>
        </w:rPr>
      </w:pPr>
      <w:r>
        <w:rPr>
          <w:rFonts w:hint="eastAsia" w:ascii="黑体" w:hAnsi="黑体" w:eastAsia="黑体" w:cs="黑体"/>
          <w:kern w:val="0"/>
        </w:rPr>
        <w:t>第五章  法律责任</w:t>
      </w:r>
    </w:p>
    <w:p>
      <w:pPr>
        <w:spacing w:line="570" w:lineRule="exact"/>
        <w:ind w:firstLine="640" w:firstLineChars="200"/>
        <w:rPr>
          <w:rFonts w:hint="eastAsia" w:ascii="仿宋_GB2312" w:hAnsi="黑体" w:cs="黑体"/>
          <w:kern w:val="0"/>
        </w:rPr>
      </w:pPr>
    </w:p>
    <w:p>
      <w:pPr>
        <w:spacing w:line="570" w:lineRule="exact"/>
        <w:ind w:firstLine="640" w:firstLineChars="200"/>
        <w:rPr>
          <w:rFonts w:hint="eastAsia" w:ascii="仿宋_GB2312" w:hAnsi="黑体" w:cs="黑体"/>
          <w:kern w:val="0"/>
        </w:rPr>
      </w:pPr>
      <w:r>
        <w:rPr>
          <w:rFonts w:hint="eastAsia" w:ascii="黑体" w:hAnsi="黑体" w:eastAsia="黑体" w:cs="黑体"/>
          <w:kern w:val="0"/>
        </w:rPr>
        <w:t xml:space="preserve">第三十二条  </w:t>
      </w:r>
      <w:r>
        <w:rPr>
          <w:rFonts w:hint="eastAsia" w:ascii="仿宋_GB2312" w:hAnsi="黑体" w:cs="黑体"/>
          <w:kern w:val="0"/>
        </w:rPr>
        <w:t>违反本条例规定，法律、法规已有处罚规定的，从其规定。</w:t>
      </w:r>
    </w:p>
    <w:p>
      <w:pPr>
        <w:spacing w:line="570" w:lineRule="exact"/>
        <w:ind w:firstLine="640" w:firstLineChars="200"/>
        <w:rPr>
          <w:rFonts w:hint="eastAsia" w:ascii="仿宋_GB2312" w:hAnsi="黑体" w:cs="黑体"/>
          <w:kern w:val="0"/>
        </w:rPr>
      </w:pPr>
      <w:r>
        <w:rPr>
          <w:rFonts w:hint="eastAsia" w:ascii="黑体" w:hAnsi="黑体" w:eastAsia="黑体" w:cs="黑体"/>
          <w:kern w:val="0"/>
        </w:rPr>
        <w:t xml:space="preserve">第三十三条  </w:t>
      </w:r>
      <w:r>
        <w:rPr>
          <w:rFonts w:hint="eastAsia" w:ascii="仿宋_GB2312" w:hAnsi="黑体" w:cs="黑体"/>
          <w:kern w:val="0"/>
        </w:rPr>
        <w:t>车辆违反限高、限重规定通行城市桥梁、隧道的，由城市管理部门按照下列规定处理：</w:t>
      </w:r>
    </w:p>
    <w:p>
      <w:pPr>
        <w:spacing w:line="570" w:lineRule="exact"/>
        <w:ind w:firstLine="640" w:firstLineChars="200"/>
        <w:rPr>
          <w:rFonts w:hint="eastAsia" w:ascii="仿宋_GB2312" w:hAnsi="黑体" w:cs="黑体"/>
          <w:kern w:val="0"/>
        </w:rPr>
      </w:pPr>
      <w:r>
        <w:rPr>
          <w:rFonts w:hint="eastAsia" w:ascii="仿宋_GB2312" w:hAnsi="黑体" w:cs="黑体"/>
          <w:kern w:val="0"/>
        </w:rPr>
        <w:t>（一）驶入警示区域的，责令驶离或者卸载通行；</w:t>
      </w:r>
    </w:p>
    <w:p>
      <w:pPr>
        <w:spacing w:line="570" w:lineRule="exact"/>
        <w:ind w:firstLine="640" w:firstLineChars="200"/>
        <w:rPr>
          <w:rFonts w:hint="eastAsia" w:ascii="仿宋_GB2312" w:hAnsi="黑体" w:cs="黑体"/>
          <w:kern w:val="0"/>
        </w:rPr>
      </w:pPr>
      <w:r>
        <w:rPr>
          <w:rFonts w:hint="eastAsia" w:ascii="仿宋_GB2312" w:hAnsi="黑体" w:cs="黑体"/>
          <w:kern w:val="0"/>
        </w:rPr>
        <w:t>（二）驶入限高区域的，责令驶离，并可处二千元以上二万元以下罚款；造成限高设施或者城市桥梁、隧道损坏的，依法承担赔偿责任；</w:t>
      </w:r>
    </w:p>
    <w:p>
      <w:pPr>
        <w:spacing w:line="570" w:lineRule="exact"/>
        <w:ind w:firstLine="640" w:firstLineChars="200"/>
        <w:rPr>
          <w:rFonts w:hint="eastAsia" w:ascii="仿宋_GB2312" w:hAnsi="黑体" w:cs="黑体"/>
          <w:kern w:val="0"/>
        </w:rPr>
      </w:pPr>
      <w:r>
        <w:rPr>
          <w:rFonts w:hint="eastAsia" w:ascii="仿宋_GB2312" w:hAnsi="黑体" w:cs="黑体"/>
          <w:kern w:val="0"/>
        </w:rPr>
        <w:t>（三）驶入限重区域的，责令停驶，卸载后通行。超重百分之十以内的，处五百元以上二千元以下罚款；超重百分之十至百分之五十的，处二千元以上一万元以下罚款；超重百分之五十以上的，处一万元以上二万元以下罚款；造成限重设施或者城市桥梁、隧道损坏的，依法承担赔偿责任。</w:t>
      </w:r>
    </w:p>
    <w:p>
      <w:pPr>
        <w:spacing w:line="570" w:lineRule="exact"/>
        <w:ind w:firstLine="640" w:firstLineChars="200"/>
        <w:rPr>
          <w:rFonts w:hint="eastAsia" w:ascii="仿宋_GB2312" w:hAnsi="黑体" w:cs="黑体"/>
          <w:kern w:val="0"/>
        </w:rPr>
      </w:pPr>
      <w:r>
        <w:rPr>
          <w:rFonts w:hint="eastAsia" w:ascii="黑体" w:hAnsi="黑体" w:eastAsia="黑体" w:cs="黑体"/>
          <w:kern w:val="0"/>
        </w:rPr>
        <w:t>第三十四条</w:t>
      </w:r>
      <w:r>
        <w:rPr>
          <w:rFonts w:hint="eastAsia" w:ascii="仿宋_GB2312" w:hAnsi="黑体" w:cs="黑体"/>
          <w:kern w:val="0"/>
        </w:rPr>
        <w:t xml:space="preserve">  违反本条例第十八条第六项、第八项规定的，由城市管理部门责令限期改正；逾期不改正的，处二千元以上二万元以下罚款；造成损失的，依法承担赔偿责任。</w:t>
      </w:r>
    </w:p>
    <w:p>
      <w:pPr>
        <w:spacing w:line="570" w:lineRule="exact"/>
        <w:ind w:firstLine="640" w:firstLineChars="200"/>
        <w:rPr>
          <w:rFonts w:hint="eastAsia" w:ascii="仿宋_GB2312" w:hAnsi="黑体" w:cs="黑体"/>
          <w:kern w:val="0"/>
        </w:rPr>
      </w:pPr>
      <w:r>
        <w:rPr>
          <w:rFonts w:hint="eastAsia" w:ascii="黑体" w:hAnsi="黑体" w:eastAsia="黑体" w:cs="黑体"/>
          <w:kern w:val="0"/>
        </w:rPr>
        <w:t>第三十五条</w:t>
      </w:r>
      <w:r>
        <w:rPr>
          <w:rFonts w:hint="eastAsia" w:ascii="仿宋_GB2312" w:hAnsi="黑体" w:cs="黑体"/>
          <w:kern w:val="0"/>
        </w:rPr>
        <w:t xml:space="preserve">  违反本条例第二十条第一款规定的，由城市管理部门责令限期改正；逾期不改正的，处一万元以上三万元以下罚款；其中违反第四项规定，情节严重的，处三万元以上十万元以下罚款；造成损失的，依法承担赔偿责任。</w:t>
      </w:r>
    </w:p>
    <w:p>
      <w:pPr>
        <w:spacing w:line="570" w:lineRule="exact"/>
        <w:ind w:firstLine="640" w:firstLineChars="200"/>
        <w:rPr>
          <w:rFonts w:hint="eastAsia" w:ascii="仿宋_GB2312" w:hAnsi="黑体" w:cs="黑体"/>
          <w:kern w:val="0"/>
        </w:rPr>
      </w:pPr>
      <w:r>
        <w:rPr>
          <w:rFonts w:hint="eastAsia" w:ascii="黑体" w:hAnsi="黑体" w:eastAsia="黑体" w:cs="黑体"/>
          <w:kern w:val="0"/>
        </w:rPr>
        <w:t>第三十六条</w:t>
      </w:r>
      <w:r>
        <w:rPr>
          <w:rFonts w:hint="eastAsia" w:ascii="仿宋_GB2312" w:hAnsi="黑体" w:cs="黑体"/>
          <w:kern w:val="0"/>
        </w:rPr>
        <w:t xml:space="preserve">  违反本条例第二十条第三款规定的，由城市管理部门责令限期改正；逾期不改正的，处一千元以上一万元以下罚款；情节严重的，处一万元以上五万元以下罚款；造成损失的，依法承担赔偿责任。</w:t>
      </w:r>
    </w:p>
    <w:p>
      <w:pPr>
        <w:spacing w:line="570" w:lineRule="exact"/>
        <w:ind w:firstLine="640" w:firstLineChars="200"/>
        <w:rPr>
          <w:rFonts w:hint="eastAsia" w:ascii="仿宋_GB2312" w:hAnsi="黑体" w:cs="黑体"/>
          <w:kern w:val="0"/>
        </w:rPr>
      </w:pPr>
      <w:r>
        <w:rPr>
          <w:rFonts w:hint="eastAsia" w:ascii="黑体" w:hAnsi="黑体" w:eastAsia="黑体" w:cs="黑体"/>
          <w:kern w:val="0"/>
        </w:rPr>
        <w:t>第三十七条</w:t>
      </w:r>
      <w:r>
        <w:rPr>
          <w:rFonts w:hint="eastAsia" w:ascii="仿宋_GB2312" w:hAnsi="黑体" w:cs="黑体"/>
          <w:kern w:val="0"/>
        </w:rPr>
        <w:t xml:space="preserve">  养护人及其工作人员未按照本条例相关规定履行对城市桥梁、隧道的检测、养护、维修职责，未按照规定建设安全信息监控系统和设施，或者拒绝接受城市管理部门监督、检查，造成安全事故的，由其上级主管部门或者监察机关依法追究其行政责任；构成犯罪的，依法追究其刑事责任。</w:t>
      </w:r>
    </w:p>
    <w:p>
      <w:pPr>
        <w:spacing w:line="570" w:lineRule="exact"/>
        <w:ind w:firstLine="640" w:firstLineChars="200"/>
        <w:rPr>
          <w:rFonts w:hint="eastAsia" w:ascii="仿宋_GB2312" w:hAnsi="黑体" w:cs="黑体"/>
          <w:kern w:val="0"/>
        </w:rPr>
      </w:pPr>
      <w:r>
        <w:rPr>
          <w:rFonts w:hint="eastAsia" w:ascii="黑体" w:hAnsi="黑体" w:eastAsia="黑体" w:cs="黑体"/>
          <w:kern w:val="0"/>
        </w:rPr>
        <w:t>第三十八条</w:t>
      </w:r>
      <w:r>
        <w:rPr>
          <w:rFonts w:hint="eastAsia" w:ascii="仿宋_GB2312" w:hAnsi="黑体" w:cs="黑体"/>
          <w:kern w:val="0"/>
        </w:rPr>
        <w:t xml:space="preserve">  有关主管部门及其工作人员未按照本条例规定履行职责，或者因玩忽职守、徇私枉法造成城市桥梁、隧道损坏的，由其上级主管部门或者监察机关依法追究其行政责任；构成犯罪的，依法追究其刑事责任。</w:t>
      </w:r>
    </w:p>
    <w:p>
      <w:pPr>
        <w:spacing w:line="570" w:lineRule="exact"/>
        <w:ind w:firstLine="640" w:firstLineChars="200"/>
        <w:rPr>
          <w:rFonts w:hint="eastAsia" w:ascii="仿宋_GB2312" w:hAnsi="黑体" w:cs="黑体"/>
          <w:kern w:val="0"/>
        </w:rPr>
      </w:pPr>
    </w:p>
    <w:p>
      <w:pPr>
        <w:spacing w:line="570" w:lineRule="exact"/>
        <w:jc w:val="center"/>
        <w:rPr>
          <w:rFonts w:hint="eastAsia" w:ascii="黑体" w:hAnsi="黑体" w:eastAsia="黑体" w:cs="黑体"/>
          <w:kern w:val="0"/>
        </w:rPr>
      </w:pPr>
      <w:r>
        <w:rPr>
          <w:rFonts w:hint="eastAsia" w:ascii="黑体" w:hAnsi="黑体" w:eastAsia="黑体" w:cs="黑体"/>
          <w:kern w:val="0"/>
        </w:rPr>
        <w:t>第六章  附  则</w:t>
      </w:r>
    </w:p>
    <w:p>
      <w:pPr>
        <w:spacing w:line="570" w:lineRule="exact"/>
        <w:ind w:firstLine="640" w:firstLineChars="200"/>
        <w:rPr>
          <w:rFonts w:hint="eastAsia" w:ascii="仿宋_GB2312" w:hAnsi="黑体" w:cs="黑体"/>
          <w:kern w:val="0"/>
        </w:rPr>
      </w:pPr>
    </w:p>
    <w:p>
      <w:pPr>
        <w:spacing w:line="570" w:lineRule="exact"/>
        <w:ind w:firstLine="640" w:firstLineChars="200"/>
        <w:rPr>
          <w:rFonts w:hint="eastAsia" w:ascii="仿宋_GB2312" w:hAnsi="黑体" w:cs="黑体"/>
          <w:kern w:val="0"/>
        </w:rPr>
      </w:pPr>
      <w:r>
        <w:rPr>
          <w:rFonts w:hint="eastAsia" w:ascii="黑体" w:hAnsi="黑体" w:eastAsia="黑体" w:cs="黑体"/>
          <w:kern w:val="0"/>
        </w:rPr>
        <w:t>第三十九条</w:t>
      </w:r>
      <w:r>
        <w:rPr>
          <w:rFonts w:hint="eastAsia" w:ascii="仿宋_GB2312" w:hAnsi="黑体" w:cs="黑体"/>
          <w:kern w:val="0"/>
        </w:rPr>
        <w:t xml:space="preserve">  本条例所称城市桥梁及其附属设施，是指涉水桥、立体交叉桥、高架桥、人行桥、涵洞等各类桥涵，防护构筑物、桥名牌、消防、排水、电力、限高、限重、照明、监测、监控、隔音设施及管理用房等。</w:t>
      </w:r>
    </w:p>
    <w:p>
      <w:pPr>
        <w:spacing w:line="570" w:lineRule="exact"/>
        <w:ind w:firstLine="640" w:firstLineChars="200"/>
        <w:rPr>
          <w:rFonts w:hint="eastAsia" w:ascii="仿宋_GB2312" w:hAnsi="黑体" w:cs="黑体"/>
          <w:kern w:val="0"/>
        </w:rPr>
      </w:pPr>
      <w:r>
        <w:rPr>
          <w:rFonts w:hint="eastAsia" w:ascii="仿宋_GB2312" w:hAnsi="黑体" w:cs="黑体"/>
          <w:kern w:val="0"/>
        </w:rPr>
        <w:t>本条例所称城市隧道及其附属设施，是指穿越江、河、湖等水域的隧道，穿越山体的隧道，地下车行、人行通道，通风、消防、给排水、电力、限高、限重、照明、监测、监控、隔音设施及管理用房等。</w:t>
      </w:r>
    </w:p>
    <w:p>
      <w:pPr>
        <w:spacing w:line="570" w:lineRule="exact"/>
        <w:ind w:firstLine="640" w:firstLineChars="200"/>
        <w:rPr>
          <w:rFonts w:hint="eastAsia" w:ascii="仿宋_GB2312" w:hAnsi="黑体" w:cs="黑体"/>
          <w:kern w:val="0"/>
        </w:rPr>
      </w:pPr>
      <w:r>
        <w:rPr>
          <w:rFonts w:hint="eastAsia" w:ascii="仿宋_GB2312" w:hAnsi="黑体" w:cs="黑体"/>
          <w:kern w:val="0"/>
        </w:rPr>
        <w:t>本条例所称桥下空间，是指城市桥梁垂直投影范围内的空间区域。</w:t>
      </w:r>
    </w:p>
    <w:p>
      <w:pPr>
        <w:spacing w:line="570" w:lineRule="exact"/>
        <w:ind w:firstLine="640" w:firstLineChars="200"/>
        <w:rPr>
          <w:rFonts w:hint="eastAsia" w:ascii="仿宋_GB2312" w:hAnsi="黑体" w:cs="黑体"/>
          <w:kern w:val="0"/>
        </w:rPr>
      </w:pPr>
      <w:r>
        <w:rPr>
          <w:rFonts w:hint="eastAsia" w:ascii="黑体" w:hAnsi="黑体" w:eastAsia="黑体" w:cs="黑体"/>
          <w:kern w:val="0"/>
        </w:rPr>
        <w:t xml:space="preserve">第四十条  </w:t>
      </w:r>
      <w:r>
        <w:rPr>
          <w:rFonts w:hint="eastAsia" w:ascii="仿宋_GB2312" w:hAnsi="黑体" w:cs="黑体"/>
          <w:kern w:val="0"/>
        </w:rPr>
        <w:t>本条例所称开发区，是指武汉东湖新技术开发区、武汉经济技术开发区；风景区，是指武汉市东湖生态旅游风景区；化工区，是指武汉化学工业区。</w:t>
      </w:r>
    </w:p>
    <w:p>
      <w:pPr>
        <w:spacing w:line="570" w:lineRule="exact"/>
        <w:ind w:firstLine="640" w:firstLineChars="200"/>
        <w:rPr>
          <w:rFonts w:hint="eastAsia" w:ascii="仿宋_GB2312" w:hAnsi="黑体" w:cs="黑体"/>
          <w:kern w:val="0"/>
        </w:rPr>
      </w:pPr>
      <w:r>
        <w:rPr>
          <w:rFonts w:hint="eastAsia" w:ascii="黑体" w:hAnsi="黑体" w:eastAsia="黑体" w:cs="黑体"/>
          <w:kern w:val="0"/>
        </w:rPr>
        <w:t>第四十一条</w:t>
      </w:r>
      <w:r>
        <w:rPr>
          <w:rFonts w:hint="eastAsia" w:ascii="仿宋_GB2312" w:hAnsi="黑体" w:cs="黑体"/>
          <w:kern w:val="0"/>
        </w:rPr>
        <w:t xml:space="preserve">  本条例自2017年8月1日起施行。1989年11月24日武汉市第八届人民代表大会常务委员会第十二次会议审议通过的《武汉市城市道路桥梁管理办法》同时废止。</w:t>
      </w:r>
    </w:p>
    <w:p>
      <w:pPr>
        <w:spacing w:line="570" w:lineRule="exact"/>
        <w:ind w:firstLine="640"/>
        <w:rPr>
          <w:rFonts w:ascii="仿宋_GB2312" w:cs="Times New Roman"/>
          <w:kern w:val="0"/>
        </w:rPr>
      </w:pPr>
    </w:p>
    <w:p>
      <w:pPr>
        <w:spacing w:line="570" w:lineRule="exact"/>
        <w:rPr>
          <w:rFonts w:ascii="仿宋_GB2312" w:cs="Times New Roman"/>
          <w:kern w:val="0"/>
        </w:rPr>
      </w:pPr>
    </w:p>
    <w:p>
      <w:pPr>
        <w:pStyle w:val="4"/>
        <w:spacing w:line="570" w:lineRule="exact"/>
        <w:ind w:left="0" w:leftChars="0" w:right="870" w:rightChars="272"/>
        <w:jc w:val="both"/>
        <w:rPr>
          <w:rFonts w:ascii="仿宋_GB2312" w:hAnsi="仿宋_GB2312" w:eastAsia="仿宋_GB2312" w:cs="Times New Roman"/>
          <w:sz w:val="32"/>
          <w:szCs w:val="32"/>
        </w:rPr>
      </w:pPr>
    </w:p>
    <w:sectPr>
      <w:footerReference r:id="rId3" w:type="default"/>
      <w:footerReference r:id="rId4" w:type="even"/>
      <w:pgSz w:w="11906" w:h="16838"/>
      <w:pgMar w:top="2098" w:right="1531" w:bottom="1985" w:left="1531" w:header="851" w:footer="1814" w:gutter="0"/>
      <w:pgNumType w:fmt="decimal" w:start="4"/>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Calibri Light">
    <w:panose1 w:val="020F0302020204030204"/>
    <w:charset w:val="00"/>
    <w:family w:val="swiss"/>
    <w:pitch w:val="default"/>
    <w:sig w:usb0="A00002EF" w:usb1="4000207B" w:usb2="00000000" w:usb3="00000000" w:csb0="2000019F" w:csb1="00000000"/>
  </w:font>
  <w:font w:name="Courier New">
    <w:panose1 w:val="02070309020205020404"/>
    <w:charset w:val="00"/>
    <w:family w:val="modern"/>
    <w:pitch w:val="default"/>
    <w:sig w:usb0="E0002AFF" w:usb1="C0007843" w:usb2="00000009" w:usb3="00000000" w:csb0="400001FF" w:csb1="FFFF0000"/>
  </w:font>
  <w:font w:name="??">
    <w:altName w:val="Times New Roman"/>
    <w:panose1 w:val="00000000000000000000"/>
    <w:charset w:val="00"/>
    <w:family w:val="roman"/>
    <w:pitch w:val="default"/>
    <w:sig w:usb0="00000000" w:usb1="00000000" w:usb2="00000000" w:usb3="00000000" w:csb0="00000001" w:csb1="00000000"/>
  </w:font>
  <w:font w:name="楷体">
    <w:panose1 w:val="02010609060101010101"/>
    <w:charset w:val="86"/>
    <w:family w:val="modern"/>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仿宋">
    <w:panose1 w:val="02010609060101010101"/>
    <w:charset w:val="86"/>
    <w:family w:val="roman"/>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ind w:right="360" w:firstLine="360"/>
      <w:rPr>
        <w:rFonts w:cs="Times New Roman"/>
      </w:rPr>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pStyle w:val="5"/>
                            <w:rPr>
                              <w:rStyle w:val="10"/>
                              <w:rFonts w:ascii="宋体" w:hAnsi="宋体" w:eastAsia="宋体"/>
                              <w:sz w:val="28"/>
                              <w:szCs w:val="28"/>
                            </w:rPr>
                          </w:pPr>
                          <w:r>
                            <w:rPr>
                              <w:rStyle w:val="10"/>
                              <w:rFonts w:ascii="宋体" w:hAnsi="宋体" w:eastAsia="宋体" w:cs="宋体"/>
                              <w:sz w:val="28"/>
                              <w:szCs w:val="28"/>
                            </w:rPr>
                            <w:t xml:space="preserve">— </w:t>
                          </w:r>
                          <w:r>
                            <w:rPr>
                              <w:rStyle w:val="10"/>
                              <w:rFonts w:ascii="宋体" w:hAnsi="宋体" w:eastAsia="宋体" w:cs="宋体"/>
                              <w:sz w:val="28"/>
                              <w:szCs w:val="28"/>
                            </w:rPr>
                            <w:fldChar w:fldCharType="begin"/>
                          </w:r>
                          <w:r>
                            <w:rPr>
                              <w:rStyle w:val="10"/>
                              <w:rFonts w:ascii="宋体" w:hAnsi="宋体" w:eastAsia="宋体" w:cs="宋体"/>
                              <w:sz w:val="28"/>
                              <w:szCs w:val="28"/>
                            </w:rPr>
                            <w:instrText xml:space="preserve">PAGE  </w:instrText>
                          </w:r>
                          <w:r>
                            <w:rPr>
                              <w:rStyle w:val="10"/>
                              <w:rFonts w:ascii="宋体" w:hAnsi="宋体" w:eastAsia="宋体" w:cs="宋体"/>
                              <w:sz w:val="28"/>
                              <w:szCs w:val="28"/>
                            </w:rPr>
                            <w:fldChar w:fldCharType="separate"/>
                          </w:r>
                          <w:r>
                            <w:rPr>
                              <w:rStyle w:val="10"/>
                              <w:rFonts w:ascii="宋体" w:hAnsi="宋体" w:eastAsia="宋体" w:cs="宋体"/>
                              <w:sz w:val="28"/>
                              <w:szCs w:val="28"/>
                            </w:rPr>
                            <w:t>3</w:t>
                          </w:r>
                          <w:r>
                            <w:rPr>
                              <w:rStyle w:val="10"/>
                              <w:rFonts w:ascii="宋体" w:hAnsi="宋体" w:eastAsia="宋体" w:cs="宋体"/>
                              <w:sz w:val="28"/>
                              <w:szCs w:val="28"/>
                            </w:rPr>
                            <w:fldChar w:fldCharType="end"/>
                          </w:r>
                          <w:r>
                            <w:rPr>
                              <w:rStyle w:val="10"/>
                              <w:rFonts w:ascii="宋体" w:hAnsi="宋体" w:eastAsia="宋体" w:cs="宋体"/>
                              <w:sz w:val="28"/>
                              <w:szCs w:val="28"/>
                            </w:rPr>
                            <w:t xml:space="preserve"> —</w:t>
                          </w:r>
                          <w:r>
                            <w:rPr>
                              <w:rStyle w:val="10"/>
                              <w:rFonts w:ascii="宋体" w:hAnsi="宋体" w:eastAsia="宋体" w:cs="宋体"/>
                              <w:color w:val="FFFFFF"/>
                              <w:sz w:val="28"/>
                              <w:szCs w:val="28"/>
                            </w:rPr>
                            <w:t>—</w:t>
                          </w:r>
                        </w:p>
                      </w:txbxContent>
                    </wps:txbx>
                    <wps:bodyPr vert="horz" wrap="none" lIns="0" tIns="0" rIns="0" bIns="0" anchor="t" upright="0">
                      <a:spAutoFit/>
                    </wps:bodyPr>
                  </wps:wsp>
                </a:graphicData>
              </a:graphic>
            </wp:anchor>
          </w:drawing>
        </mc:Choice>
        <mc:Fallback>
          <w:pict>
            <v:shape id="文本框 3"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">
              <v:fill on="f" focussize="0,0"/>
              <v:stroke on="f"/>
              <v:imagedata o:title=""/>
              <o:lock v:ext="edit" aspectratio="f"/>
              <v:textbox inset="0mm,0mm,0mm,0mm" style="mso-fit-shape-to-text:t;">
                <w:txbxContent>
                  <w:p>
                    <w:pPr>
                      <w:pStyle w:val="5"/>
                      <w:rPr>
                        <w:rStyle w:val="10"/>
                        <w:rFonts w:ascii="宋体" w:hAnsi="宋体" w:eastAsia="宋体"/>
                        <w:sz w:val="28"/>
                        <w:szCs w:val="28"/>
                      </w:rPr>
                    </w:pPr>
                    <w:r>
                      <w:rPr>
                        <w:rStyle w:val="10"/>
                        <w:rFonts w:ascii="宋体" w:hAnsi="宋体" w:eastAsia="宋体" w:cs="宋体"/>
                        <w:sz w:val="28"/>
                        <w:szCs w:val="28"/>
                      </w:rPr>
                      <w:t xml:space="preserve">— </w:t>
                    </w:r>
                    <w:r>
                      <w:rPr>
                        <w:rStyle w:val="10"/>
                        <w:rFonts w:ascii="宋体" w:hAnsi="宋体" w:eastAsia="宋体" w:cs="宋体"/>
                        <w:sz w:val="28"/>
                        <w:szCs w:val="28"/>
                      </w:rPr>
                      <w:fldChar w:fldCharType="begin"/>
                    </w:r>
                    <w:r>
                      <w:rPr>
                        <w:rStyle w:val="10"/>
                        <w:rFonts w:ascii="宋体" w:hAnsi="宋体" w:eastAsia="宋体" w:cs="宋体"/>
                        <w:sz w:val="28"/>
                        <w:szCs w:val="28"/>
                      </w:rPr>
                      <w:instrText xml:space="preserve">PAGE  </w:instrText>
                    </w:r>
                    <w:r>
                      <w:rPr>
                        <w:rStyle w:val="10"/>
                        <w:rFonts w:ascii="宋体" w:hAnsi="宋体" w:eastAsia="宋体" w:cs="宋体"/>
                        <w:sz w:val="28"/>
                        <w:szCs w:val="28"/>
                      </w:rPr>
                      <w:fldChar w:fldCharType="separate"/>
                    </w:r>
                    <w:r>
                      <w:rPr>
                        <w:rStyle w:val="10"/>
                        <w:rFonts w:ascii="宋体" w:hAnsi="宋体" w:eastAsia="宋体" w:cs="宋体"/>
                        <w:sz w:val="28"/>
                        <w:szCs w:val="28"/>
                      </w:rPr>
                      <w:t>3</w:t>
                    </w:r>
                    <w:r>
                      <w:rPr>
                        <w:rStyle w:val="10"/>
                        <w:rFonts w:ascii="宋体" w:hAnsi="宋体" w:eastAsia="宋体" w:cs="宋体"/>
                        <w:sz w:val="28"/>
                        <w:szCs w:val="28"/>
                      </w:rPr>
                      <w:fldChar w:fldCharType="end"/>
                    </w:r>
                    <w:r>
                      <w:rPr>
                        <w:rStyle w:val="10"/>
                        <w:rFonts w:ascii="宋体" w:hAnsi="宋体" w:eastAsia="宋体" w:cs="宋体"/>
                        <w:sz w:val="28"/>
                        <w:szCs w:val="28"/>
                      </w:rPr>
                      <w:t xml:space="preserve"> —</w:t>
                    </w:r>
                    <w:r>
                      <w:rPr>
                        <w:rStyle w:val="10"/>
                        <w:rFonts w:ascii="宋体" w:hAnsi="宋体" w:eastAsia="宋体" w:cs="宋体"/>
                        <w:color w:val="FFFFFF"/>
                        <w:sz w:val="28"/>
                        <w:szCs w:val="28"/>
                      </w:rPr>
                      <w:t>—</w:t>
                    </w:r>
                  </w:p>
                </w:txbxContent>
              </v:textbox>
            </v:shape>
          </w:pict>
        </mc:Fallback>
      </mc:AlternateContent>
    </w:r>
    <w: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ind w:right="360" w:firstLine="360"/>
      <w:rPr>
        <w:rFonts w:cs="Times New Roman"/>
      </w:rPr>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pStyle w:val="5"/>
                            <w:rPr>
                              <w:rStyle w:val="10"/>
                            </w:rPr>
                          </w:pPr>
                          <w:r>
                            <w:rPr>
                              <w:rStyle w:val="10"/>
                              <w:rFonts w:ascii="宋体" w:hAnsi="宋体" w:eastAsia="宋体" w:cs="宋体"/>
                              <w:color w:val="FFFFFF"/>
                              <w:sz w:val="28"/>
                              <w:szCs w:val="28"/>
                            </w:rPr>
                            <w:t>—</w:t>
                          </w:r>
                          <w:r>
                            <w:rPr>
                              <w:rStyle w:val="10"/>
                              <w:rFonts w:ascii="宋体" w:hAnsi="宋体" w:eastAsia="宋体" w:cs="宋体"/>
                              <w:sz w:val="28"/>
                              <w:szCs w:val="28"/>
                            </w:rPr>
                            <w:t xml:space="preserve">— </w:t>
                          </w:r>
                          <w:r>
                            <w:rPr>
                              <w:rStyle w:val="10"/>
                              <w:rFonts w:ascii="宋体" w:hAnsi="宋体" w:eastAsia="宋体" w:cs="宋体"/>
                              <w:sz w:val="28"/>
                              <w:szCs w:val="28"/>
                            </w:rPr>
                            <w:fldChar w:fldCharType="begin"/>
                          </w:r>
                          <w:r>
                            <w:rPr>
                              <w:rStyle w:val="10"/>
                              <w:rFonts w:ascii="宋体" w:hAnsi="宋体" w:eastAsia="宋体" w:cs="宋体"/>
                              <w:sz w:val="28"/>
                              <w:szCs w:val="28"/>
                            </w:rPr>
                            <w:instrText xml:space="preserve">PAGE  </w:instrText>
                          </w:r>
                          <w:r>
                            <w:rPr>
                              <w:rStyle w:val="10"/>
                              <w:rFonts w:ascii="宋体" w:hAnsi="宋体" w:eastAsia="宋体" w:cs="宋体"/>
                              <w:sz w:val="28"/>
                              <w:szCs w:val="28"/>
                            </w:rPr>
                            <w:fldChar w:fldCharType="separate"/>
                          </w:r>
                          <w:r>
                            <w:rPr>
                              <w:rStyle w:val="10"/>
                              <w:rFonts w:ascii="宋体" w:hAnsi="宋体" w:eastAsia="宋体" w:cs="宋体"/>
                              <w:sz w:val="28"/>
                              <w:szCs w:val="28"/>
                            </w:rPr>
                            <w:t>24</w:t>
                          </w:r>
                          <w:r>
                            <w:rPr>
                              <w:rStyle w:val="10"/>
                              <w:rFonts w:ascii="宋体" w:hAnsi="宋体" w:eastAsia="宋体" w:cs="宋体"/>
                              <w:sz w:val="28"/>
                              <w:szCs w:val="28"/>
                            </w:rPr>
                            <w:fldChar w:fldCharType="end"/>
                          </w:r>
                          <w:r>
                            <w:rPr>
                              <w:rStyle w:val="10"/>
                              <w:rFonts w:ascii="宋体" w:hAnsi="宋体" w:eastAsia="宋体" w:cs="宋体"/>
                              <w:sz w:val="28"/>
                              <w:szCs w:val="28"/>
                            </w:rPr>
                            <w:t xml:space="preserve"> —</w:t>
                          </w:r>
                        </w:p>
                      </w:txbxContent>
                    </wps:txbx>
                    <wps:bodyPr vert="horz" wrap="none" lIns="0" tIns="0" rIns="0" bIns="0" anchor="t" upright="0">
                      <a:spAutoFit/>
                    </wps:bodyPr>
                  </wps:wsp>
                </a:graphicData>
              </a:graphic>
            </wp:anchor>
          </w:drawing>
        </mc:Choice>
        <mc:Fallback>
          <w:pict>
            <v:shape id="文本框 4"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GV8HOjFAQAAawMAAA4AAAAAAAAAAQAgAAAAHgEAAGRycy9lMm9Eb2MueG1s&#10;UEsFBgAAAAAGAAYAWQEAAFUFAAAAAA==&#10;">
              <v:fill on="f" focussize="0,0"/>
              <v:stroke on="f"/>
              <v:imagedata o:title=""/>
              <o:lock v:ext="edit" aspectratio="f"/>
              <v:textbox inset="0mm,0mm,0mm,0mm" style="mso-fit-shape-to-text:t;">
                <w:txbxContent>
                  <w:p>
                    <w:pPr>
                      <w:pStyle w:val="5"/>
                      <w:rPr>
                        <w:rStyle w:val="10"/>
                      </w:rPr>
                    </w:pPr>
                    <w:r>
                      <w:rPr>
                        <w:rStyle w:val="10"/>
                        <w:rFonts w:ascii="宋体" w:hAnsi="宋体" w:eastAsia="宋体" w:cs="宋体"/>
                        <w:color w:val="FFFFFF"/>
                        <w:sz w:val="28"/>
                        <w:szCs w:val="28"/>
                      </w:rPr>
                      <w:t>—</w:t>
                    </w:r>
                    <w:r>
                      <w:rPr>
                        <w:rStyle w:val="10"/>
                        <w:rFonts w:ascii="宋体" w:hAnsi="宋体" w:eastAsia="宋体" w:cs="宋体"/>
                        <w:sz w:val="28"/>
                        <w:szCs w:val="28"/>
                      </w:rPr>
                      <w:t xml:space="preserve">— </w:t>
                    </w:r>
                    <w:r>
                      <w:rPr>
                        <w:rStyle w:val="10"/>
                        <w:rFonts w:ascii="宋体" w:hAnsi="宋体" w:eastAsia="宋体" w:cs="宋体"/>
                        <w:sz w:val="28"/>
                        <w:szCs w:val="28"/>
                      </w:rPr>
                      <w:fldChar w:fldCharType="begin"/>
                    </w:r>
                    <w:r>
                      <w:rPr>
                        <w:rStyle w:val="10"/>
                        <w:rFonts w:ascii="宋体" w:hAnsi="宋体" w:eastAsia="宋体" w:cs="宋体"/>
                        <w:sz w:val="28"/>
                        <w:szCs w:val="28"/>
                      </w:rPr>
                      <w:instrText xml:space="preserve">PAGE  </w:instrText>
                    </w:r>
                    <w:r>
                      <w:rPr>
                        <w:rStyle w:val="10"/>
                        <w:rFonts w:ascii="宋体" w:hAnsi="宋体" w:eastAsia="宋体" w:cs="宋体"/>
                        <w:sz w:val="28"/>
                        <w:szCs w:val="28"/>
                      </w:rPr>
                      <w:fldChar w:fldCharType="separate"/>
                    </w:r>
                    <w:r>
                      <w:rPr>
                        <w:rStyle w:val="10"/>
                        <w:rFonts w:ascii="宋体" w:hAnsi="宋体" w:eastAsia="宋体" w:cs="宋体"/>
                        <w:sz w:val="28"/>
                        <w:szCs w:val="28"/>
                      </w:rPr>
                      <w:t>24</w:t>
                    </w:r>
                    <w:r>
                      <w:rPr>
                        <w:rStyle w:val="10"/>
                        <w:rFonts w:ascii="宋体" w:hAnsi="宋体" w:eastAsia="宋体" w:cs="宋体"/>
                        <w:sz w:val="28"/>
                        <w:szCs w:val="28"/>
                      </w:rPr>
                      <w:fldChar w:fldCharType="end"/>
                    </w:r>
                    <w:r>
                      <w:rPr>
                        <w:rStyle w:val="10"/>
                        <w:rFonts w:ascii="宋体" w:hAnsi="宋体" w:eastAsia="宋体" w:cs="宋体"/>
                        <w:sz w:val="28"/>
                        <w:szCs w:val="28"/>
                      </w:rPr>
                      <w:t xml:space="preserve"> —</w:t>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5F407B"/>
    <w:multiLevelType w:val="singleLevel"/>
    <w:tmpl w:val="595F407B"/>
    <w:lvl w:ilvl="0" w:tentative="0">
      <w:start w:val="1"/>
      <w:numFmt w:val="chineseCounting"/>
      <w:suff w:val="space"/>
      <w:lvlText w:val="第%1章"/>
      <w:lvlJc w:val="left"/>
      <w:rPr>
        <w:rFonts w:cs="Times New Roman"/>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hyphenationZone w:val="360"/>
  <w:doNotHyphenateCaps/>
  <w:evenAndOddHeaders w:val="1"/>
  <w:drawingGridHorizontalSpacing w:val="158"/>
  <w:drawingGridVerticalSpacing w:val="290"/>
  <w:displayHorizontalDrawingGridEvery w:val="2"/>
  <w:displayVerticalDrawingGridEvery w:val="2"/>
  <w:noPunctuationKerning w:val="1"/>
  <w:characterSpacingControl w:val="compressPunctuation"/>
  <w:noLineBreaksAfter w:lang="zh-CN" w:val="$([{£¥·‘“〈《「『【〔〖〝﹙﹛﹝＄（．［｛￡￥"/>
  <w:noLineBreaksBefore w:lang="zh-CN" w:val="!%),.:;&gt;?]}¢¨°·ˇˉ―‖’”…‰′″›℃∶、。〃〉》」』】〕〗〞︶︺︾﹀﹄﹚﹜﹞！＂％＇），．：；？］｀｜｝～￠"/>
  <w:doNotValidateAgainstSchema/>
  <w:doNotDemarcateInvalidXml/>
  <w:compat>
    <w:spaceForUL/>
    <w:balanceSingleByteDoubleByteWidth/>
    <w:doNotLeaveBackslashAlon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6F24"/>
    <w:rsid w:val="00034A43"/>
    <w:rsid w:val="00082BCC"/>
    <w:rsid w:val="00086B25"/>
    <w:rsid w:val="00092238"/>
    <w:rsid w:val="000E2B02"/>
    <w:rsid w:val="000E5AA9"/>
    <w:rsid w:val="000F4BA1"/>
    <w:rsid w:val="00124068"/>
    <w:rsid w:val="0013037B"/>
    <w:rsid w:val="00132609"/>
    <w:rsid w:val="0016148E"/>
    <w:rsid w:val="00193D96"/>
    <w:rsid w:val="001C3665"/>
    <w:rsid w:val="001F6B91"/>
    <w:rsid w:val="002008B3"/>
    <w:rsid w:val="002436B4"/>
    <w:rsid w:val="00246F07"/>
    <w:rsid w:val="002D1FA9"/>
    <w:rsid w:val="002E5011"/>
    <w:rsid w:val="003B625C"/>
    <w:rsid w:val="003C4182"/>
    <w:rsid w:val="003D12D9"/>
    <w:rsid w:val="003D5777"/>
    <w:rsid w:val="003E723A"/>
    <w:rsid w:val="004024D1"/>
    <w:rsid w:val="0042394E"/>
    <w:rsid w:val="00456091"/>
    <w:rsid w:val="004B03F2"/>
    <w:rsid w:val="004D53B0"/>
    <w:rsid w:val="004F4648"/>
    <w:rsid w:val="004F74AE"/>
    <w:rsid w:val="00504318"/>
    <w:rsid w:val="005327C7"/>
    <w:rsid w:val="00556C3F"/>
    <w:rsid w:val="0058466F"/>
    <w:rsid w:val="00594F68"/>
    <w:rsid w:val="005A1F4F"/>
    <w:rsid w:val="005A71FE"/>
    <w:rsid w:val="005B059B"/>
    <w:rsid w:val="005C0C8C"/>
    <w:rsid w:val="005E2CBD"/>
    <w:rsid w:val="0061444D"/>
    <w:rsid w:val="00631813"/>
    <w:rsid w:val="006963C7"/>
    <w:rsid w:val="006C2939"/>
    <w:rsid w:val="00731800"/>
    <w:rsid w:val="007352AA"/>
    <w:rsid w:val="00737469"/>
    <w:rsid w:val="007460DF"/>
    <w:rsid w:val="007A2B25"/>
    <w:rsid w:val="007D0F4F"/>
    <w:rsid w:val="007E59D2"/>
    <w:rsid w:val="00861E27"/>
    <w:rsid w:val="00866F24"/>
    <w:rsid w:val="008678F7"/>
    <w:rsid w:val="0087519B"/>
    <w:rsid w:val="008A5431"/>
    <w:rsid w:val="008B3D39"/>
    <w:rsid w:val="008C2180"/>
    <w:rsid w:val="008D6518"/>
    <w:rsid w:val="008E46E6"/>
    <w:rsid w:val="0090329D"/>
    <w:rsid w:val="00905A32"/>
    <w:rsid w:val="009460FE"/>
    <w:rsid w:val="00976B02"/>
    <w:rsid w:val="009B04F1"/>
    <w:rsid w:val="009B1066"/>
    <w:rsid w:val="009B135E"/>
    <w:rsid w:val="009C7419"/>
    <w:rsid w:val="009D4840"/>
    <w:rsid w:val="009F78EE"/>
    <w:rsid w:val="00A13C75"/>
    <w:rsid w:val="00A21E90"/>
    <w:rsid w:val="00A32792"/>
    <w:rsid w:val="00A94EE9"/>
    <w:rsid w:val="00AA3AAF"/>
    <w:rsid w:val="00AA4D03"/>
    <w:rsid w:val="00AA7790"/>
    <w:rsid w:val="00AF77AE"/>
    <w:rsid w:val="00AF7F46"/>
    <w:rsid w:val="00B11BAB"/>
    <w:rsid w:val="00B213CC"/>
    <w:rsid w:val="00B37E5F"/>
    <w:rsid w:val="00B74CB3"/>
    <w:rsid w:val="00BB1A98"/>
    <w:rsid w:val="00BB6D7F"/>
    <w:rsid w:val="00BE4ED9"/>
    <w:rsid w:val="00C05DE5"/>
    <w:rsid w:val="00C303D3"/>
    <w:rsid w:val="00C83BD5"/>
    <w:rsid w:val="00CB312C"/>
    <w:rsid w:val="00CD1768"/>
    <w:rsid w:val="00D12A32"/>
    <w:rsid w:val="00D57F3D"/>
    <w:rsid w:val="00D62562"/>
    <w:rsid w:val="00D812AE"/>
    <w:rsid w:val="00D85DB7"/>
    <w:rsid w:val="00DA7F0E"/>
    <w:rsid w:val="00DB06A4"/>
    <w:rsid w:val="00DE5725"/>
    <w:rsid w:val="00DF1392"/>
    <w:rsid w:val="00DF1B2F"/>
    <w:rsid w:val="00DF202B"/>
    <w:rsid w:val="00E10628"/>
    <w:rsid w:val="00E90F72"/>
    <w:rsid w:val="00E93B79"/>
    <w:rsid w:val="00ED16FA"/>
    <w:rsid w:val="00EF2E32"/>
    <w:rsid w:val="00F17126"/>
    <w:rsid w:val="00F24F02"/>
    <w:rsid w:val="00F30EDD"/>
    <w:rsid w:val="00F44922"/>
    <w:rsid w:val="00F4593D"/>
    <w:rsid w:val="00F46870"/>
    <w:rsid w:val="00F56C26"/>
    <w:rsid w:val="00FE2FE8"/>
    <w:rsid w:val="00FE3F9D"/>
    <w:rsid w:val="07723B58"/>
    <w:rsid w:val="0A115ABF"/>
    <w:rsid w:val="0E027F26"/>
    <w:rsid w:val="0EC37ABF"/>
    <w:rsid w:val="13881436"/>
    <w:rsid w:val="141F7074"/>
    <w:rsid w:val="152473AE"/>
    <w:rsid w:val="15BC1C16"/>
    <w:rsid w:val="1927062F"/>
    <w:rsid w:val="19BA3865"/>
    <w:rsid w:val="1B185EFB"/>
    <w:rsid w:val="1E9C20E8"/>
    <w:rsid w:val="1FF979BD"/>
    <w:rsid w:val="20E55E1A"/>
    <w:rsid w:val="24200E8A"/>
    <w:rsid w:val="242B515D"/>
    <w:rsid w:val="258F6828"/>
    <w:rsid w:val="2632277B"/>
    <w:rsid w:val="27E812F6"/>
    <w:rsid w:val="28AE409F"/>
    <w:rsid w:val="29066BB2"/>
    <w:rsid w:val="291766A1"/>
    <w:rsid w:val="2B567D19"/>
    <w:rsid w:val="2B843977"/>
    <w:rsid w:val="2C7517F6"/>
    <w:rsid w:val="2CA734C5"/>
    <w:rsid w:val="2D6A13F2"/>
    <w:rsid w:val="2F9A259E"/>
    <w:rsid w:val="305710E0"/>
    <w:rsid w:val="317B20D7"/>
    <w:rsid w:val="33E915F1"/>
    <w:rsid w:val="340A78AA"/>
    <w:rsid w:val="342B447C"/>
    <w:rsid w:val="35DE42D6"/>
    <w:rsid w:val="38B348A8"/>
    <w:rsid w:val="3A37162B"/>
    <w:rsid w:val="3A51697C"/>
    <w:rsid w:val="3BC82D18"/>
    <w:rsid w:val="3CAA6189"/>
    <w:rsid w:val="3D58732E"/>
    <w:rsid w:val="3F7A6776"/>
    <w:rsid w:val="410371B0"/>
    <w:rsid w:val="45AA77F1"/>
    <w:rsid w:val="497C2319"/>
    <w:rsid w:val="49A66451"/>
    <w:rsid w:val="4B095D2C"/>
    <w:rsid w:val="4C7A07F8"/>
    <w:rsid w:val="4CA3004C"/>
    <w:rsid w:val="4E082274"/>
    <w:rsid w:val="4EA841D4"/>
    <w:rsid w:val="4EEE6A9D"/>
    <w:rsid w:val="4F035479"/>
    <w:rsid w:val="50051ED2"/>
    <w:rsid w:val="510667BD"/>
    <w:rsid w:val="52747AC9"/>
    <w:rsid w:val="55EE3C64"/>
    <w:rsid w:val="5A0E4861"/>
    <w:rsid w:val="5B30466F"/>
    <w:rsid w:val="5B6C201C"/>
    <w:rsid w:val="60963A9B"/>
    <w:rsid w:val="60E45E41"/>
    <w:rsid w:val="64EC4DD6"/>
    <w:rsid w:val="64F409B1"/>
    <w:rsid w:val="65FF30DC"/>
    <w:rsid w:val="67FB5AEA"/>
    <w:rsid w:val="6B88282D"/>
    <w:rsid w:val="6BA0237C"/>
    <w:rsid w:val="6BBE444C"/>
    <w:rsid w:val="6D755CB6"/>
    <w:rsid w:val="6DA40BFC"/>
    <w:rsid w:val="6E416684"/>
    <w:rsid w:val="70514703"/>
    <w:rsid w:val="71F0017E"/>
    <w:rsid w:val="741B210D"/>
    <w:rsid w:val="783D43FB"/>
    <w:rsid w:val="7AD323A6"/>
    <w:rsid w:val="7B6733FA"/>
    <w:rsid w:val="7CEB2CD7"/>
    <w:rsid w:val="7F966FC0"/>
    <w:rsid w:val="7FE62684"/>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EmbedSmartTag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unhideWhenUsed="0" w:uiPriority="0" w:semiHidden="0" w:name="heading 2" w:locked="1"/>
    <w:lsdException w:unhideWhenUsed="0" w:uiPriority="0" w:semiHidden="0" w:name="heading 3" w:locked="1"/>
    <w:lsdException w:unhideWhenUsed="0" w:uiPriority="0" w:semiHidden="0" w:name="heading 4" w:locked="1"/>
    <w:lsdException w:unhideWhenUsed="0" w:uiPriority="0" w:semiHidden="0" w:name="heading 5" w:locked="1"/>
    <w:lsdException w:unhideWhenUsed="0" w:uiPriority="0" w:semiHidden="0" w:name="heading 6" w:locked="1"/>
    <w:lsdException w:unhideWhenUsed="0" w:uiPriority="0" w:semiHidden="0" w:name="heading 7" w:locked="1"/>
    <w:lsdException w:unhideWhenUsed="0" w:uiPriority="0" w:semiHidden="0" w:name="heading 8" w:locked="1"/>
    <w:lsdException w:unhideWhenUsed="0" w:uiPriority="0" w:semiHidden="0" w:name="heading 9" w:locked="1"/>
    <w:lsdException w:unhideWhenUsed="0" w:uiPriority="0" w:semiHidden="0" w:name="index 1" w:locked="1"/>
    <w:lsdException w:unhideWhenUsed="0" w:uiPriority="0" w:semiHidden="0" w:name="index 2" w:locked="1"/>
    <w:lsdException w:unhideWhenUsed="0" w:uiPriority="0" w:semiHidden="0" w:name="index 3" w:locked="1"/>
    <w:lsdException w:unhideWhenUsed="0" w:uiPriority="0" w:semiHidden="0" w:name="index 4" w:locked="1"/>
    <w:lsdException w:unhideWhenUsed="0" w:uiPriority="0" w:semiHidden="0" w:name="index 5" w:locked="1"/>
    <w:lsdException w:unhideWhenUsed="0" w:uiPriority="0" w:semiHidden="0" w:name="index 6" w:locked="1"/>
    <w:lsdException w:unhideWhenUsed="0" w:uiPriority="0" w:semiHidden="0" w:name="index 7" w:locked="1"/>
    <w:lsdException w:unhideWhenUsed="0" w:uiPriority="0" w:semiHidden="0" w:name="index 8" w:locked="1"/>
    <w:lsdException w:unhideWhenUsed="0" w:uiPriority="0" w:semiHidden="0" w:name="index 9" w:locked="1"/>
    <w:lsdException w:unhideWhenUsed="0" w:uiPriority="0" w:semiHidden="0" w:name="toc 1" w:locked="1"/>
    <w:lsdException w:unhideWhenUsed="0" w:uiPriority="0" w:semiHidden="0" w:name="toc 2" w:locked="1"/>
    <w:lsdException w:unhideWhenUsed="0" w:uiPriority="0" w:semiHidden="0" w:name="toc 3" w:locked="1"/>
    <w:lsdException w:unhideWhenUsed="0" w:uiPriority="0" w:semiHidden="0" w:name="toc 4" w:locked="1"/>
    <w:lsdException w:unhideWhenUsed="0" w:uiPriority="0" w:semiHidden="0" w:name="toc 5" w:locked="1"/>
    <w:lsdException w:unhideWhenUsed="0" w:uiPriority="0" w:semiHidden="0" w:name="toc 6" w:locked="1"/>
    <w:lsdException w:unhideWhenUsed="0" w:uiPriority="0" w:semiHidden="0" w:name="toc 7" w:locked="1"/>
    <w:lsdException w:unhideWhenUsed="0" w:uiPriority="0" w:semiHidden="0" w:name="toc 8" w:locked="1"/>
    <w:lsdException w:unhideWhenUsed="0" w:uiPriority="0" w:semiHidden="0" w:name="toc 9" w:locked="1"/>
    <w:lsdException w:unhideWhenUsed="0" w:uiPriority="0" w:semiHidden="0" w:name="Normal Indent" w:locked="1"/>
    <w:lsdException w:unhideWhenUsed="0" w:uiPriority="0" w:semiHidden="0" w:name="footnote text" w:locked="1"/>
    <w:lsdException w:unhideWhenUsed="0" w:uiPriority="0" w:semiHidden="0" w:name="annotation text" w:locked="1"/>
    <w:lsdException w:unhideWhenUsed="0" w:uiPriority="0" w:semiHidden="0" w:name="header"/>
    <w:lsdException w:unhideWhenUsed="0" w:uiPriority="0" w:semiHidden="0" w:name="footer"/>
    <w:lsdException w:unhideWhenUsed="0" w:uiPriority="0" w:semiHidden="0" w:name="index heading" w:locked="1"/>
    <w:lsdException w:unhideWhenUsed="0" w:uiPriority="0" w:semiHidden="0" w:name="caption" w:locked="1"/>
    <w:lsdException w:unhideWhenUsed="0" w:uiPriority="0" w:semiHidden="0" w:name="table of figures" w:locked="1"/>
    <w:lsdException w:unhideWhenUsed="0" w:uiPriority="0" w:semiHidden="0" w:name="envelope address" w:locked="1"/>
    <w:lsdException w:unhideWhenUsed="0" w:uiPriority="0" w:semiHidden="0" w:name="envelope return" w:locked="1"/>
    <w:lsdException w:unhideWhenUsed="0" w:uiPriority="0" w:semiHidden="0" w:name="footnote reference" w:locked="1"/>
    <w:lsdException w:unhideWhenUsed="0" w:uiPriority="0" w:semiHidden="0" w:name="annotation reference" w:locked="1"/>
    <w:lsdException w:unhideWhenUsed="0" w:uiPriority="0" w:semiHidden="0" w:name="line number" w:locked="1"/>
    <w:lsdException w:unhideWhenUsed="0" w:uiPriority="0" w:semiHidden="0" w:name="page number"/>
    <w:lsdException w:unhideWhenUsed="0" w:uiPriority="0" w:semiHidden="0" w:name="endnote reference" w:locked="1"/>
    <w:lsdException w:unhideWhenUsed="0" w:uiPriority="0" w:semiHidden="0" w:name="endnote text" w:locked="1"/>
    <w:lsdException w:unhideWhenUsed="0" w:uiPriority="0" w:semiHidden="0" w:name="table of authorities" w:locked="1"/>
    <w:lsdException w:unhideWhenUsed="0" w:uiPriority="0" w:semiHidden="0" w:name="macro" w:locked="1"/>
    <w:lsdException w:unhideWhenUsed="0" w:uiPriority="0" w:semiHidden="0" w:name="toa heading" w:locked="1"/>
    <w:lsdException w:unhideWhenUsed="0" w:uiPriority="0" w:semiHidden="0" w:name="List" w:locked="1"/>
    <w:lsdException w:unhideWhenUsed="0" w:uiPriority="0" w:semiHidden="0" w:name="List Bullet" w:locked="1"/>
    <w:lsdException w:unhideWhenUsed="0" w:uiPriority="0" w:semiHidden="0" w:name="List Number" w:locked="1"/>
    <w:lsdException w:unhideWhenUsed="0" w:uiPriority="0" w:semiHidden="0" w:name="List 2" w:locked="1"/>
    <w:lsdException w:unhideWhenUsed="0" w:uiPriority="0" w:semiHidden="0" w:name="List 3" w:locked="1"/>
    <w:lsdException w:unhideWhenUsed="0" w:uiPriority="0" w:semiHidden="0" w:name="List 4" w:locked="1"/>
    <w:lsdException w:unhideWhenUsed="0" w:uiPriority="0" w:semiHidden="0" w:name="List 5" w:locked="1"/>
    <w:lsdException w:unhideWhenUsed="0" w:uiPriority="0" w:semiHidden="0" w:name="List Bullet 2" w:locked="1"/>
    <w:lsdException w:unhideWhenUsed="0" w:uiPriority="0" w:semiHidden="0" w:name="List Bullet 3" w:locked="1"/>
    <w:lsdException w:unhideWhenUsed="0" w:uiPriority="0" w:semiHidden="0" w:name="List Bullet 4" w:locked="1"/>
    <w:lsdException w:unhideWhenUsed="0" w:uiPriority="0" w:semiHidden="0" w:name="List Bullet 5" w:locked="1"/>
    <w:lsdException w:unhideWhenUsed="0" w:uiPriority="0" w:semiHidden="0" w:name="List Number 2" w:locked="1"/>
    <w:lsdException w:unhideWhenUsed="0" w:uiPriority="0" w:semiHidden="0" w:name="List Number 3" w:locked="1"/>
    <w:lsdException w:unhideWhenUsed="0" w:uiPriority="0" w:semiHidden="0" w:name="List Number 4" w:locked="1"/>
    <w:lsdException w:unhideWhenUsed="0" w:uiPriority="0" w:semiHidden="0" w:name="List Number 5" w:locked="1"/>
    <w:lsdException w:unhideWhenUsed="0" w:uiPriority="0" w:semiHidden="0" w:name="Title" w:locked="1"/>
    <w:lsdException w:unhideWhenUsed="0" w:uiPriority="0" w:semiHidden="0" w:name="Closing" w:locked="1"/>
    <w:lsdException w:unhideWhenUsed="0" w:uiPriority="0" w:semiHidden="0" w:name="Signature" w:locked="1"/>
    <w:lsdException w:unhideWhenUsed="0" w:uiPriority="0" w:name="Default Paragraph Font"/>
    <w:lsdException w:qFormat="1" w:unhideWhenUsed="0" w:uiPriority="0" w:semiHidden="0" w:name="Body Text"/>
    <w:lsdException w:unhideWhenUsed="0" w:uiPriority="0" w:semiHidden="0" w:name="Body Text Indent" w:locked="1"/>
    <w:lsdException w:unhideWhenUsed="0" w:uiPriority="0" w:semiHidden="0" w:name="List Continue" w:locked="1"/>
    <w:lsdException w:unhideWhenUsed="0" w:uiPriority="0" w:semiHidden="0" w:name="List Continue 2" w:locked="1"/>
    <w:lsdException w:unhideWhenUsed="0" w:uiPriority="0" w:semiHidden="0" w:name="List Continue 3" w:locked="1"/>
    <w:lsdException w:unhideWhenUsed="0" w:uiPriority="0" w:semiHidden="0" w:name="List Continue 4" w:locked="1"/>
    <w:lsdException w:unhideWhenUsed="0" w:uiPriority="0" w:semiHidden="0" w:name="List Continue 5" w:locked="1"/>
    <w:lsdException w:unhideWhenUsed="0" w:uiPriority="0" w:semiHidden="0" w:name="Message Header" w:locked="1"/>
    <w:lsdException w:unhideWhenUsed="0" w:uiPriority="0" w:semiHidden="0" w:name="Subtitle" w:locked="1"/>
    <w:lsdException w:unhideWhenUsed="0" w:uiPriority="0" w:semiHidden="0" w:name="Salutation" w:locked="1"/>
    <w:lsdException w:qFormat="1" w:unhideWhenUsed="0" w:uiPriority="0" w:semiHidden="0" w:name="Date"/>
    <w:lsdException w:unhideWhenUsed="0" w:uiPriority="0" w:semiHidden="0" w:name="Body Text First Indent" w:locked="1"/>
    <w:lsdException w:unhideWhenUsed="0" w:uiPriority="0" w:semiHidden="0" w:name="Body Text First Indent 2" w:locked="1"/>
    <w:lsdException w:unhideWhenUsed="0" w:uiPriority="0" w:semiHidden="0" w:name="Note Heading" w:locked="1"/>
    <w:lsdException w:unhideWhenUsed="0" w:uiPriority="0" w:semiHidden="0" w:name="Body Text 2" w:locked="1"/>
    <w:lsdException w:unhideWhenUsed="0" w:uiPriority="0" w:semiHidden="0" w:name="Body Text 3" w:locked="1"/>
    <w:lsdException w:unhideWhenUsed="0" w:uiPriority="0" w:semiHidden="0" w:name="Body Text Indent 2" w:locked="1"/>
    <w:lsdException w:unhideWhenUsed="0" w:uiPriority="0" w:semiHidden="0" w:name="Body Text Indent 3" w:locked="1"/>
    <w:lsdException w:unhideWhenUsed="0" w:uiPriority="0" w:semiHidden="0" w:name="Block Text" w:locked="1"/>
    <w:lsdException w:unhideWhenUsed="0" w:uiPriority="0" w:semiHidden="0" w:name="Hyperlink" w:locked="1"/>
    <w:lsdException w:unhideWhenUsed="0" w:uiPriority="0" w:semiHidden="0" w:name="FollowedHyperlink" w:locked="1"/>
    <w:lsdException w:unhideWhenUsed="0" w:uiPriority="0" w:semiHidden="0" w:name="Strong" w:locked="1"/>
    <w:lsdException w:unhideWhenUsed="0" w:uiPriority="0" w:semiHidden="0" w:name="Emphasis" w:locked="1"/>
    <w:lsdException w:unhideWhenUsed="0" w:uiPriority="0" w:semiHidden="0" w:name="Document Map" w:locked="1"/>
    <w:lsdException w:unhideWhenUsed="0" w:uiPriority="0" w:semiHidden="0" w:name="Plain Text" w:locked="1"/>
    <w:lsdException w:unhideWhenUsed="0" w:uiPriority="0" w:semiHidden="0" w:name="E-mail Signature" w:locked="1"/>
    <w:lsdException w:unhideWhenUsed="0" w:uiPriority="0" w:semiHidden="0" w:name="Normal (Web)"/>
    <w:lsdException w:unhideWhenUsed="0" w:uiPriority="0" w:semiHidden="0" w:name="HTML Acronym" w:locked="1"/>
    <w:lsdException w:unhideWhenUsed="0" w:uiPriority="0" w:semiHidden="0" w:name="HTML Address" w:locked="1"/>
    <w:lsdException w:unhideWhenUsed="0" w:uiPriority="0" w:semiHidden="0" w:name="HTML Cite" w:locked="1"/>
    <w:lsdException w:unhideWhenUsed="0" w:uiPriority="0" w:semiHidden="0" w:name="HTML Code" w:locked="1"/>
    <w:lsdException w:unhideWhenUsed="0" w:uiPriority="0" w:semiHidden="0" w:name="HTML Definition" w:locked="1"/>
    <w:lsdException w:unhideWhenUsed="0" w:uiPriority="0" w:semiHidden="0" w:name="HTML Keyboard" w:locked="1"/>
    <w:lsdException w:unhideWhenUsed="0" w:uiPriority="0" w:semiHidden="0" w:name="HTML Preformatted"/>
    <w:lsdException w:unhideWhenUsed="0" w:uiPriority="0" w:semiHidden="0" w:name="HTML Sample" w:locked="1"/>
    <w:lsdException w:unhideWhenUsed="0" w:uiPriority="0" w:semiHidden="0" w:name="HTML Typewriter" w:locked="1"/>
    <w:lsdException w:unhideWhenUsed="0" w:uiPriority="0" w:semiHidden="0" w:name="HTML Variable" w:locked="1"/>
    <w:lsdException w:unhideWhenUsed="0" w:uiPriority="0" w:name="Normal Table"/>
    <w:lsdException w:unhideWhenUsed="0" w:uiPriority="0" w:semiHidden="0" w:name="annotation subject" w:locked="1"/>
    <w:lsdException w:unhideWhenUsed="0" w:uiPriority="0" w:semiHidden="0" w:name="Table Simple 1" w:locked="1"/>
    <w:lsdException w:unhideWhenUsed="0" w:uiPriority="0" w:semiHidden="0" w:name="Table Simple 2" w:locked="1"/>
    <w:lsdException w:unhideWhenUsed="0" w:uiPriority="0" w:semiHidden="0" w:name="Table Simple 3" w:locked="1"/>
    <w:lsdException w:unhideWhenUsed="0" w:uiPriority="0" w:semiHidden="0" w:name="Table Classic 1" w:locked="1"/>
    <w:lsdException w:unhideWhenUsed="0" w:uiPriority="0" w:semiHidden="0" w:name="Table Classic 2" w:locked="1"/>
    <w:lsdException w:unhideWhenUsed="0" w:uiPriority="0" w:semiHidden="0" w:name="Table Classic 3" w:locked="1"/>
    <w:lsdException w:unhideWhenUsed="0" w:uiPriority="0" w:semiHidden="0" w:name="Table Classic 4" w:locked="1"/>
    <w:lsdException w:unhideWhenUsed="0" w:uiPriority="0" w:semiHidden="0" w:name="Table Colorful 1" w:locked="1"/>
    <w:lsdException w:unhideWhenUsed="0" w:uiPriority="0" w:semiHidden="0" w:name="Table Colorful 2" w:locked="1"/>
    <w:lsdException w:unhideWhenUsed="0" w:uiPriority="0" w:semiHidden="0" w:name="Table Colorful 3" w:locked="1"/>
    <w:lsdException w:unhideWhenUsed="0" w:uiPriority="0" w:semiHidden="0" w:name="Table Columns 1" w:locked="1"/>
    <w:lsdException w:unhideWhenUsed="0" w:uiPriority="0" w:semiHidden="0" w:name="Table Columns 2" w:locked="1"/>
    <w:lsdException w:unhideWhenUsed="0" w:uiPriority="0" w:semiHidden="0" w:name="Table Columns 3" w:locked="1"/>
    <w:lsdException w:unhideWhenUsed="0" w:uiPriority="0" w:semiHidden="0" w:name="Table Columns 4" w:locked="1"/>
    <w:lsdException w:unhideWhenUsed="0" w:uiPriority="0" w:semiHidden="0" w:name="Table Columns 5" w:locked="1"/>
    <w:lsdException w:unhideWhenUsed="0" w:uiPriority="0" w:semiHidden="0" w:name="Table Grid 1" w:locked="1"/>
    <w:lsdException w:unhideWhenUsed="0" w:uiPriority="0" w:semiHidden="0" w:name="Table Grid 2" w:locked="1"/>
    <w:lsdException w:unhideWhenUsed="0" w:uiPriority="0" w:semiHidden="0" w:name="Table Grid 3" w:locked="1"/>
    <w:lsdException w:unhideWhenUsed="0" w:uiPriority="0" w:semiHidden="0" w:name="Table Grid 4" w:locked="1"/>
    <w:lsdException w:unhideWhenUsed="0" w:uiPriority="0" w:semiHidden="0" w:name="Table Grid 5" w:locked="1"/>
    <w:lsdException w:unhideWhenUsed="0" w:uiPriority="0" w:semiHidden="0" w:name="Table Grid 6" w:locked="1"/>
    <w:lsdException w:unhideWhenUsed="0" w:uiPriority="0" w:semiHidden="0" w:name="Table Grid 7" w:locked="1"/>
    <w:lsdException w:unhideWhenUsed="0" w:uiPriority="0" w:semiHidden="0" w:name="Table Grid 8" w:locked="1"/>
    <w:lsdException w:unhideWhenUsed="0" w:uiPriority="0" w:semiHidden="0" w:name="Table List 1" w:locked="1"/>
    <w:lsdException w:unhideWhenUsed="0" w:uiPriority="0" w:semiHidden="0" w:name="Table List 2" w:locked="1"/>
    <w:lsdException w:unhideWhenUsed="0" w:uiPriority="0" w:semiHidden="0" w:name="Table List 3" w:locked="1"/>
    <w:lsdException w:unhideWhenUsed="0" w:uiPriority="0" w:semiHidden="0" w:name="Table List 4" w:locked="1"/>
    <w:lsdException w:unhideWhenUsed="0" w:uiPriority="0" w:semiHidden="0" w:name="Table List 5" w:locked="1"/>
    <w:lsdException w:unhideWhenUsed="0" w:uiPriority="0" w:semiHidden="0" w:name="Table List 6" w:locked="1"/>
    <w:lsdException w:unhideWhenUsed="0" w:uiPriority="0" w:semiHidden="0" w:name="Table List 7" w:locked="1"/>
    <w:lsdException w:unhideWhenUsed="0" w:uiPriority="0" w:semiHidden="0" w:name="Table List 8" w:locked="1"/>
    <w:lsdException w:unhideWhenUsed="0" w:uiPriority="0" w:semiHidden="0" w:name="Table 3D effects 1" w:locked="1"/>
    <w:lsdException w:unhideWhenUsed="0" w:uiPriority="0" w:semiHidden="0" w:name="Table 3D effects 2" w:locked="1"/>
    <w:lsdException w:unhideWhenUsed="0" w:uiPriority="0" w:semiHidden="0" w:name="Table 3D effects 3" w:locked="1"/>
    <w:lsdException w:unhideWhenUsed="0" w:uiPriority="0" w:semiHidden="0" w:name="Table Contemporary" w:locked="1"/>
    <w:lsdException w:unhideWhenUsed="0" w:uiPriority="0" w:semiHidden="0" w:name="Table Elegant" w:locked="1"/>
    <w:lsdException w:unhideWhenUsed="0" w:uiPriority="0" w:semiHidden="0" w:name="Table Professional" w:locked="1"/>
    <w:lsdException w:unhideWhenUsed="0" w:uiPriority="0" w:semiHidden="0" w:name="Table Subtle 1" w:locked="1"/>
    <w:lsdException w:unhideWhenUsed="0" w:uiPriority="0" w:semiHidden="0" w:name="Table Subtle 2" w:locked="1"/>
    <w:lsdException w:unhideWhenUsed="0" w:uiPriority="0" w:semiHidden="0" w:name="Table Web 1" w:locked="1"/>
    <w:lsdException w:unhideWhenUsed="0" w:uiPriority="0" w:semiHidden="0" w:name="Table Web 2" w:locked="1"/>
    <w:lsdException w:unhideWhenUsed="0" w:uiPriority="0" w:semiHidden="0" w:name="Table Web 3" w:locked="1"/>
    <w:lsdException w:unhideWhenUsed="0" w:uiPriority="0" w:semiHidden="0" w:name="Balloon Text" w:locked="1"/>
    <w:lsdException w:unhideWhenUsed="0" w:uiPriority="0" w:semiHidden="0" w:name="Table Grid" w:locked="1"/>
    <w:lsdException w:unhideWhenUsed="0" w:uiPriority="0" w:semiHidden="0" w:name="Table Theme" w:locked="1"/>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仿宋_GB2312" w:cs="Calibri"/>
      <w:kern w:val="2"/>
      <w:sz w:val="32"/>
      <w:szCs w:val="32"/>
      <w:lang w:val="en-US" w:eastAsia="zh-CN" w:bidi="ar-SA"/>
    </w:rPr>
  </w:style>
  <w:style w:type="paragraph" w:styleId="2">
    <w:name w:val="heading 1"/>
    <w:basedOn w:val="1"/>
    <w:next w:val="1"/>
    <w:link w:val="14"/>
    <w:qFormat/>
    <w:uiPriority w:val="0"/>
    <w:pPr>
      <w:spacing w:before="100" w:beforeAutospacing="1" w:after="100" w:afterAutospacing="1"/>
      <w:jc w:val="left"/>
      <w:outlineLvl w:val="0"/>
    </w:pPr>
    <w:rPr>
      <w:rFonts w:ascii="宋体" w:hAnsi="宋体" w:eastAsia="宋体" w:cs="宋体"/>
      <w:b/>
      <w:bCs/>
      <w:kern w:val="44"/>
      <w:sz w:val="48"/>
      <w:szCs w:val="48"/>
    </w:rPr>
  </w:style>
  <w:style w:type="character" w:default="1" w:styleId="9">
    <w:name w:val="Default Paragraph Font"/>
    <w:semiHidden/>
    <w:uiPriority w:val="0"/>
  </w:style>
  <w:style w:type="table" w:default="1" w:styleId="11">
    <w:name w:val="Normal Table"/>
    <w:semiHidden/>
    <w:uiPriority w:val="0"/>
    <w:tblPr>
      <w:tblLayout w:type="fixed"/>
      <w:tblCellMar>
        <w:top w:w="0" w:type="dxa"/>
        <w:left w:w="108" w:type="dxa"/>
        <w:bottom w:w="0" w:type="dxa"/>
        <w:right w:w="108" w:type="dxa"/>
      </w:tblCellMar>
    </w:tblPr>
    <w:tcPr>
      <w:textDirection w:val="lrTb"/>
    </w:tcPr>
  </w:style>
  <w:style w:type="paragraph" w:styleId="3">
    <w:name w:val="Body Text"/>
    <w:basedOn w:val="1"/>
    <w:link w:val="15"/>
    <w:qFormat/>
    <w:uiPriority w:val="0"/>
    <w:pPr>
      <w:jc w:val="center"/>
    </w:pPr>
    <w:rPr>
      <w:rFonts w:eastAsia="黑体"/>
    </w:rPr>
  </w:style>
  <w:style w:type="paragraph" w:styleId="4">
    <w:name w:val="Date"/>
    <w:basedOn w:val="1"/>
    <w:next w:val="1"/>
    <w:link w:val="16"/>
    <w:qFormat/>
    <w:uiPriority w:val="0"/>
    <w:pPr>
      <w:ind w:left="100" w:leftChars="2500"/>
    </w:pPr>
    <w:rPr>
      <w:rFonts w:ascii="楷体_GB2312" w:eastAsia="楷体_GB2312" w:cs="楷体_GB2312"/>
      <w:sz w:val="30"/>
      <w:szCs w:val="30"/>
    </w:rPr>
  </w:style>
  <w:style w:type="paragraph" w:styleId="5">
    <w:name w:val="footer"/>
    <w:basedOn w:val="1"/>
    <w:link w:val="17"/>
    <w:uiPriority w:val="0"/>
    <w:pPr>
      <w:tabs>
        <w:tab w:val="center" w:pos="4153"/>
        <w:tab w:val="right" w:pos="8306"/>
      </w:tabs>
      <w:snapToGrid w:val="0"/>
      <w:jc w:val="left"/>
    </w:pPr>
    <w:rPr>
      <w:sz w:val="18"/>
      <w:szCs w:val="18"/>
    </w:rPr>
  </w:style>
  <w:style w:type="paragraph" w:styleId="6">
    <w:name w:val="header"/>
    <w:basedOn w:val="1"/>
    <w:link w:val="18"/>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szCs w:val="18"/>
    </w:rPr>
  </w:style>
  <w:style w:type="paragraph" w:styleId="7">
    <w:name w:val="HTML Preformatted"/>
    <w:basedOn w:val="1"/>
    <w:link w:val="19"/>
    <w:uiPriority w:val="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paragraph" w:styleId="8">
    <w:name w:val="Normal (Web)"/>
    <w:basedOn w:val="1"/>
    <w:uiPriority w:val="0"/>
    <w:pPr>
      <w:spacing w:before="100" w:beforeAutospacing="1" w:after="100" w:afterAutospacing="1"/>
      <w:jc w:val="left"/>
    </w:pPr>
    <w:rPr>
      <w:rFonts w:ascii="宋体" w:hAnsi="宋体" w:eastAsia="宋体" w:cs="宋体"/>
      <w:kern w:val="0"/>
      <w:sz w:val="24"/>
      <w:szCs w:val="24"/>
    </w:rPr>
  </w:style>
  <w:style w:type="character" w:styleId="10">
    <w:name w:val="page number"/>
    <w:basedOn w:val="9"/>
    <w:uiPriority w:val="0"/>
    <w:rPr>
      <w:rFonts w:cs="Times New Roman"/>
    </w:rPr>
  </w:style>
  <w:style w:type="paragraph" w:customStyle="1" w:styleId="12">
    <w:name w:val="No Spacing1"/>
    <w:basedOn w:val="1"/>
    <w:uiPriority w:val="0"/>
    <w:pPr>
      <w:widowControl/>
      <w:jc w:val="left"/>
    </w:pPr>
    <w:rPr>
      <w:rFonts w:ascii="Calibri Light" w:hAnsi="Calibri Light" w:cs="Calibri Light"/>
      <w:kern w:val="0"/>
      <w:sz w:val="22"/>
      <w:szCs w:val="22"/>
      <w:lang w:eastAsia="en-US"/>
    </w:rPr>
  </w:style>
  <w:style w:type="paragraph" w:customStyle="1" w:styleId="13">
    <w:name w:val="无间隔1"/>
    <w:uiPriority w:val="0"/>
    <w:pPr>
      <w:widowControl w:val="0"/>
      <w:jc w:val="both"/>
    </w:pPr>
    <w:rPr>
      <w:rFonts w:ascii="Times New Roman" w:hAnsi="Times New Roman" w:eastAsia="宋体" w:cs="Times New Roman"/>
      <w:kern w:val="2"/>
      <w:sz w:val="21"/>
      <w:szCs w:val="21"/>
      <w:lang w:val="en-US" w:eastAsia="zh-CN" w:bidi="ar-SA"/>
    </w:rPr>
  </w:style>
  <w:style w:type="character" w:customStyle="1" w:styleId="14">
    <w:name w:val="Heading 1 Char"/>
    <w:basedOn w:val="9"/>
    <w:link w:val="2"/>
    <w:locked/>
    <w:uiPriority w:val="0"/>
    <w:rPr>
      <w:rFonts w:ascii="Calibri" w:hAnsi="Calibri" w:eastAsia="仿宋_GB2312" w:cs="Calibri"/>
      <w:b/>
      <w:bCs/>
      <w:kern w:val="44"/>
      <w:sz w:val="44"/>
      <w:szCs w:val="44"/>
    </w:rPr>
  </w:style>
  <w:style w:type="character" w:customStyle="1" w:styleId="15">
    <w:name w:val="Body Text Char"/>
    <w:basedOn w:val="9"/>
    <w:link w:val="3"/>
    <w:semiHidden/>
    <w:locked/>
    <w:uiPriority w:val="0"/>
    <w:rPr>
      <w:rFonts w:ascii="Calibri" w:hAnsi="Calibri" w:eastAsia="仿宋_GB2312" w:cs="Calibri"/>
      <w:sz w:val="32"/>
      <w:szCs w:val="32"/>
    </w:rPr>
  </w:style>
  <w:style w:type="character" w:customStyle="1" w:styleId="16">
    <w:name w:val="Date Char"/>
    <w:basedOn w:val="9"/>
    <w:link w:val="4"/>
    <w:semiHidden/>
    <w:locked/>
    <w:uiPriority w:val="0"/>
    <w:rPr>
      <w:rFonts w:ascii="Calibri" w:hAnsi="Calibri" w:eastAsia="仿宋_GB2312" w:cs="Calibri"/>
      <w:sz w:val="32"/>
      <w:szCs w:val="32"/>
    </w:rPr>
  </w:style>
  <w:style w:type="character" w:customStyle="1" w:styleId="17">
    <w:name w:val="Footer Char"/>
    <w:basedOn w:val="9"/>
    <w:link w:val="5"/>
    <w:semiHidden/>
    <w:locked/>
    <w:uiPriority w:val="0"/>
    <w:rPr>
      <w:rFonts w:ascii="Calibri" w:hAnsi="Calibri" w:eastAsia="仿宋_GB2312" w:cs="Calibri"/>
      <w:sz w:val="18"/>
      <w:szCs w:val="18"/>
    </w:rPr>
  </w:style>
  <w:style w:type="character" w:customStyle="1" w:styleId="18">
    <w:name w:val="Header Char"/>
    <w:basedOn w:val="9"/>
    <w:link w:val="6"/>
    <w:semiHidden/>
    <w:qFormat/>
    <w:locked/>
    <w:uiPriority w:val="0"/>
    <w:rPr>
      <w:rFonts w:ascii="Calibri" w:hAnsi="Calibri" w:eastAsia="仿宋_GB2312" w:cs="Calibri"/>
      <w:sz w:val="18"/>
      <w:szCs w:val="18"/>
    </w:rPr>
  </w:style>
  <w:style w:type="character" w:customStyle="1" w:styleId="19">
    <w:name w:val="HTML Preformatted Char"/>
    <w:basedOn w:val="9"/>
    <w:link w:val="7"/>
    <w:semiHidden/>
    <w:locked/>
    <w:uiPriority w:val="0"/>
    <w:rPr>
      <w:rFonts w:ascii="Courier New" w:hAnsi="Courier New" w:eastAsia="仿宋_GB2312" w:cs="Courier New"/>
      <w:sz w:val="20"/>
      <w:szCs w:val="20"/>
    </w:rPr>
  </w:style>
  <w:style w:type="character" w:customStyle="1" w:styleId="20">
    <w:name w:val="bd1"/>
    <w:basedOn w:val="9"/>
    <w:uiPriority w:val="0"/>
    <w:rPr>
      <w:rFonts w:ascii="??" w:hAnsi="??" w:cs="??"/>
      <w:color w:val="000000"/>
      <w:sz w:val="24"/>
      <w:szCs w:val="24"/>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Template>
  <Company>china</Company>
  <Pages>23</Pages>
  <Words>1384</Words>
  <Characters>7889</Characters>
  <Lines>65</Lines>
  <Paragraphs>18</Paragraphs>
  <ScaleCrop>false</ScaleCrop>
  <LinksUpToDate>false</LinksUpToDate>
  <CharactersWithSpaces>9255</CharactersWithSpaces>
  <Application>WPS Office_10.8.0.5715_F1E327BC-269C-435d-A152-05C5408002CA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2017-07-13T03:10:00Z</dcterms:created>
  <dc:creator>rd</dc:creator>
  <cp:lastModifiedBy>Byron</cp:lastModifiedBy>
  <cp:lastPrinted>2017-07-13T01:45:00Z</cp:lastPrinted>
  <dcterms:modified xsi:type="dcterms:W3CDTF">2017-07-20T23:47:32Z</dcterms:modified>
  <dc:title>附件1</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2052-10.8.0.5715</vt:lpwstr>
  </property>
</Properties>
</file>