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9B7" w:rsidRDefault="007A39B7">
      <w:pPr>
        <w:spacing w:line="300" w:lineRule="auto"/>
        <w:jc w:val="center"/>
      </w:pPr>
      <w:bookmarkStart w:id="0" w:name="_GoBack"/>
      <w:bookmarkEnd w:id="0"/>
    </w:p>
    <w:p w:rsidR="007A39B7" w:rsidRDefault="007A39B7">
      <w:pPr>
        <w:spacing w:line="300" w:lineRule="auto"/>
        <w:jc w:val="center"/>
      </w:pPr>
    </w:p>
    <w:p w:rsidR="007A39B7" w:rsidRDefault="0098536C">
      <w:pPr>
        <w:spacing w:line="300" w:lineRule="auto"/>
        <w:jc w:val="center"/>
        <w:rPr>
          <w:rFonts w:ascii="宋体" w:eastAsia="宋体" w:hAnsi="宋体"/>
          <w:sz w:val="44"/>
          <w:szCs w:val="44"/>
        </w:rPr>
      </w:pPr>
      <w:r>
        <w:rPr>
          <w:rFonts w:ascii="宋体" w:eastAsia="宋体" w:hAnsi="宋体" w:hint="eastAsia"/>
          <w:sz w:val="44"/>
          <w:szCs w:val="44"/>
        </w:rPr>
        <w:t>汕头经济特区预防与化解纠纷促进条例</w:t>
      </w:r>
    </w:p>
    <w:p w:rsidR="007A39B7" w:rsidRDefault="007A39B7">
      <w:pPr>
        <w:spacing w:line="540" w:lineRule="exact"/>
        <w:jc w:val="center"/>
        <w:rPr>
          <w:rFonts w:eastAsia="宋体"/>
          <w:sz w:val="21"/>
          <w:szCs w:val="24"/>
        </w:rPr>
      </w:pPr>
    </w:p>
    <w:p w:rsidR="007A39B7" w:rsidRDefault="0098536C">
      <w:pPr>
        <w:widowControl/>
        <w:adjustRightInd w:val="0"/>
        <w:snapToGrid w:val="0"/>
        <w:spacing w:line="324" w:lineRule="auto"/>
        <w:jc w:val="center"/>
        <w:rPr>
          <w:rFonts w:ascii="楷体_GB2312" w:eastAsia="楷体_GB2312" w:hAnsi="仿宋_GB2312" w:cs="楷体_GB2312"/>
        </w:rPr>
      </w:pPr>
      <w:r>
        <w:rPr>
          <w:rFonts w:ascii="楷体_GB2312" w:eastAsia="楷体_GB2312" w:hAnsi="仿宋_GB2312" w:cs="楷体_GB2312" w:hint="eastAsia"/>
        </w:rPr>
        <w:t>（</w:t>
      </w:r>
      <w:r>
        <w:rPr>
          <w:rFonts w:hint="eastAsia"/>
        </w:rPr>
        <w:t>202</w:t>
      </w:r>
      <w:r>
        <w:rPr>
          <w:rFonts w:hint="eastAsia"/>
        </w:rPr>
        <w:t>1</w:t>
      </w:r>
      <w:r>
        <w:rPr>
          <w:rFonts w:eastAsia="楷体_GB2312"/>
        </w:rPr>
        <w:t>年</w:t>
      </w:r>
      <w:r>
        <w:rPr>
          <w:rFonts w:eastAsia="楷体_GB2312" w:hint="eastAsia"/>
        </w:rPr>
        <w:t>11</w:t>
      </w:r>
      <w:r>
        <w:rPr>
          <w:rFonts w:eastAsia="楷体_GB2312"/>
        </w:rPr>
        <w:t>月</w:t>
      </w:r>
      <w:r>
        <w:rPr>
          <w:rFonts w:eastAsia="楷体_GB2312" w:hint="eastAsia"/>
        </w:rPr>
        <w:t>22</w:t>
      </w:r>
      <w:r>
        <w:rPr>
          <w:rFonts w:eastAsia="楷体_GB2312"/>
        </w:rPr>
        <w:t>日</w:t>
      </w:r>
      <w:r>
        <w:rPr>
          <w:rFonts w:ascii="楷体_GB2312" w:eastAsia="楷体_GB2312" w:hAnsi="仿宋_GB2312" w:cs="楷体_GB2312" w:hint="eastAsia"/>
        </w:rPr>
        <w:t>汕头市第十四届人民代表大会</w:t>
      </w:r>
    </w:p>
    <w:p w:rsidR="007A39B7" w:rsidRDefault="0098536C">
      <w:pPr>
        <w:widowControl/>
        <w:adjustRightInd w:val="0"/>
        <w:snapToGrid w:val="0"/>
        <w:spacing w:line="324" w:lineRule="auto"/>
        <w:jc w:val="center"/>
        <w:rPr>
          <w:rFonts w:ascii="楷体_GB2312" w:eastAsia="楷体_GB2312" w:hAnsi="仿宋_GB2312" w:cs="楷体_GB2312"/>
        </w:rPr>
      </w:pPr>
      <w:r>
        <w:rPr>
          <w:rFonts w:ascii="楷体_GB2312" w:eastAsia="楷体_GB2312" w:hAnsi="仿宋_GB2312" w:cs="楷体_GB2312" w:hint="eastAsia"/>
        </w:rPr>
        <w:t>常务委员会第</w:t>
      </w:r>
      <w:r>
        <w:rPr>
          <w:rFonts w:ascii="楷体_GB2312" w:eastAsia="楷体_GB2312" w:hAnsi="仿宋_GB2312" w:cs="楷体_GB2312" w:hint="eastAsia"/>
        </w:rPr>
        <w:t>五十八</w:t>
      </w:r>
      <w:r>
        <w:rPr>
          <w:rFonts w:ascii="楷体_GB2312" w:eastAsia="楷体_GB2312" w:hAnsi="仿宋_GB2312" w:cs="楷体_GB2312" w:hint="eastAsia"/>
        </w:rPr>
        <w:t>次会议通过）</w:t>
      </w:r>
    </w:p>
    <w:p w:rsidR="007A39B7" w:rsidRDefault="007A39B7">
      <w:pPr>
        <w:widowControl/>
        <w:adjustRightInd w:val="0"/>
        <w:snapToGrid w:val="0"/>
        <w:spacing w:line="300" w:lineRule="auto"/>
        <w:jc w:val="center"/>
        <w:rPr>
          <w:rFonts w:ascii="楷体_GB2312" w:eastAsia="楷体_GB2312" w:hAnsi="仿宋_GB2312" w:cs="楷体_GB2312"/>
        </w:rPr>
      </w:pPr>
    </w:p>
    <w:p w:rsidR="007A39B7" w:rsidRDefault="0098536C">
      <w:pPr>
        <w:spacing w:line="560" w:lineRule="exact"/>
        <w:jc w:val="center"/>
        <w:rPr>
          <w:rFonts w:ascii="楷体_GB2312" w:eastAsia="楷体_GB2312" w:hAnsi="楷体_GB2312" w:cs="楷体_GB2312"/>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7A39B7" w:rsidRDefault="007A39B7">
      <w:pPr>
        <w:widowControl/>
        <w:shd w:val="clear" w:color="auto" w:fill="FFFFFF"/>
        <w:spacing w:line="560" w:lineRule="exact"/>
        <w:ind w:firstLine="632"/>
        <w:jc w:val="left"/>
        <w:rPr>
          <w:rFonts w:ascii="楷体_GB2312" w:eastAsia="楷体_GB2312" w:hAnsi="楷体_GB2312" w:cs="楷体_GB2312"/>
          <w:i/>
          <w:iCs/>
          <w:kern w:val="0"/>
          <w:u w:val="single"/>
          <w:shd w:val="clear" w:color="auto" w:fill="FFFFFF"/>
          <w:lang/>
        </w:rPr>
      </w:pPr>
    </w:p>
    <w:p w:rsidR="007A39B7" w:rsidRDefault="0098536C">
      <w:pPr>
        <w:spacing w:line="560" w:lineRule="exact"/>
        <w:ind w:firstLineChars="200" w:firstLine="632"/>
        <w:rPr>
          <w:rFonts w:ascii="楷体_GB2312" w:eastAsia="楷体_GB2312" w:hAnsi="楷体_GB2312" w:cs="楷体_GB2312"/>
        </w:rPr>
      </w:pP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7A39B7" w:rsidRDefault="0098536C">
      <w:pPr>
        <w:spacing w:line="560" w:lineRule="exact"/>
        <w:ind w:firstLineChars="200" w:firstLine="632"/>
        <w:rPr>
          <w:rFonts w:ascii="楷体_GB2312" w:eastAsia="楷体_GB2312" w:hAnsi="楷体_GB2312" w:cs="楷体_GB2312"/>
        </w:rPr>
      </w:pP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纠纷预防</w:t>
      </w:r>
    </w:p>
    <w:p w:rsidR="007A39B7" w:rsidRDefault="0098536C">
      <w:pPr>
        <w:spacing w:line="560" w:lineRule="exact"/>
        <w:ind w:firstLineChars="200" w:firstLine="632"/>
        <w:rPr>
          <w:rFonts w:ascii="楷体_GB2312" w:eastAsia="楷体_GB2312" w:hAnsi="楷体_GB2312" w:cs="楷体_GB2312"/>
        </w:rPr>
      </w:pP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纠纷化解</w:t>
      </w:r>
    </w:p>
    <w:p w:rsidR="007A39B7" w:rsidRDefault="0098536C">
      <w:pPr>
        <w:spacing w:line="560" w:lineRule="exact"/>
        <w:ind w:firstLineChars="200" w:firstLine="632"/>
        <w:rPr>
          <w:rFonts w:ascii="楷体_GB2312" w:eastAsia="楷体_GB2312" w:hAnsi="楷体_GB2312" w:cs="楷体_GB2312"/>
        </w:rPr>
      </w:pP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保障措施</w:t>
      </w:r>
    </w:p>
    <w:p w:rsidR="007A39B7" w:rsidRDefault="0098536C">
      <w:pPr>
        <w:spacing w:line="560" w:lineRule="exact"/>
        <w:ind w:firstLineChars="200" w:firstLine="632"/>
        <w:rPr>
          <w:rFonts w:ascii="楷体_GB2312" w:eastAsia="楷体_GB2312" w:hAnsi="楷体_GB2312" w:cs="楷体_GB2312"/>
        </w:rPr>
      </w:pP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7A39B7" w:rsidRDefault="0098536C">
      <w:pPr>
        <w:spacing w:line="560" w:lineRule="exact"/>
        <w:ind w:firstLineChars="200" w:firstLine="632"/>
        <w:rPr>
          <w:rFonts w:ascii="楷体_GB2312" w:eastAsia="楷体_GB2312" w:hAnsi="楷体_GB2312" w:cs="楷体_GB2312"/>
        </w:rPr>
      </w:pP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7A39B7" w:rsidRDefault="007A39B7">
      <w:pPr>
        <w:spacing w:line="560" w:lineRule="exact"/>
        <w:rPr>
          <w:rFonts w:ascii="仿宋_GB2312" w:hAnsi="仿宋"/>
        </w:rPr>
      </w:pPr>
    </w:p>
    <w:p w:rsidR="007A39B7" w:rsidRDefault="0098536C">
      <w:pPr>
        <w:spacing w:line="600" w:lineRule="exact"/>
        <w:jc w:val="center"/>
        <w:rPr>
          <w:rFonts w:ascii="黑体" w:eastAsia="黑体" w:hAnsi="黑体"/>
        </w:rPr>
      </w:pPr>
      <w:r>
        <w:rPr>
          <w:rFonts w:ascii="黑体" w:eastAsia="黑体" w:hAnsi="黑体" w:hint="eastAsia"/>
        </w:rPr>
        <w:t>第一章</w:t>
      </w:r>
      <w:r>
        <w:rPr>
          <w:rFonts w:ascii="黑体" w:eastAsia="黑体" w:hAnsi="黑体" w:hint="eastAsia"/>
        </w:rPr>
        <w:t xml:space="preserve">  </w:t>
      </w:r>
      <w:r>
        <w:rPr>
          <w:rFonts w:ascii="黑体" w:eastAsia="黑体" w:hAnsi="黑体" w:hint="eastAsia"/>
        </w:rPr>
        <w:t>总则</w:t>
      </w:r>
    </w:p>
    <w:p w:rsidR="007A39B7" w:rsidRDefault="007A39B7">
      <w:pPr>
        <w:spacing w:line="600" w:lineRule="exact"/>
        <w:jc w:val="center"/>
        <w:rPr>
          <w:rFonts w:ascii="黑体" w:eastAsia="黑体" w:hAnsi="黑体"/>
          <w:i/>
          <w:iCs/>
          <w:u w:val="single"/>
        </w:rPr>
      </w:pPr>
    </w:p>
    <w:p w:rsidR="007A39B7" w:rsidRDefault="0098536C">
      <w:pPr>
        <w:widowControl/>
        <w:spacing w:line="600" w:lineRule="exact"/>
        <w:ind w:firstLineChars="200" w:firstLine="632"/>
        <w:jc w:val="left"/>
        <w:rPr>
          <w:rFonts w:ascii="仿宋_GB2312" w:hAnsi="仿宋"/>
        </w:rPr>
      </w:pPr>
      <w:r>
        <w:rPr>
          <w:rFonts w:ascii="黑体" w:eastAsia="黑体" w:hAnsi="黑体" w:hint="eastAsia"/>
        </w:rPr>
        <w:t>第一条</w:t>
      </w:r>
      <w:r w:rsidR="00AE50C8">
        <w:rPr>
          <w:rFonts w:ascii="黑体" w:eastAsia="黑体" w:hAnsi="黑体" w:hint="eastAsia"/>
        </w:rPr>
        <w:t xml:space="preserve">  </w:t>
      </w:r>
      <w:r>
        <w:rPr>
          <w:rFonts w:ascii="仿宋_GB2312" w:hAnsi="仿宋" w:hint="eastAsia"/>
        </w:rPr>
        <w:t>为了促进纠纷预防与化解，保障当事人合法权益</w:t>
      </w:r>
      <w:r>
        <w:rPr>
          <w:rFonts w:ascii="仿宋_GB2312" w:hAnsi="仿宋" w:hint="eastAsia"/>
        </w:rPr>
        <w:t>，增进社会和谐</w:t>
      </w:r>
      <w:r>
        <w:rPr>
          <w:rFonts w:ascii="仿宋_GB2312" w:hAnsi="仿宋" w:hint="eastAsia"/>
        </w:rPr>
        <w:t>，</w:t>
      </w:r>
      <w:r>
        <w:rPr>
          <w:rFonts w:ascii="仿宋_GB2312" w:hAnsi="仿宋" w:hint="eastAsia"/>
        </w:rPr>
        <w:t>维护公平正义，推进市域社会治理体系与治理能</w:t>
      </w:r>
      <w:r>
        <w:rPr>
          <w:rFonts w:ascii="仿宋_GB2312" w:hAnsi="仿宋" w:hint="eastAsia"/>
        </w:rPr>
        <w:lastRenderedPageBreak/>
        <w:t>力现代化，</w:t>
      </w:r>
      <w:r>
        <w:rPr>
          <w:rFonts w:ascii="仿宋_GB2312" w:hAnsi="仿宋" w:hint="eastAsia"/>
        </w:rPr>
        <w:t>根据有关法律、行政法规的基本原则，结合汕头经济特区实际，制定本条例。</w:t>
      </w:r>
    </w:p>
    <w:p w:rsidR="007A39B7" w:rsidRDefault="0098536C">
      <w:pPr>
        <w:widowControl/>
        <w:spacing w:line="600" w:lineRule="exact"/>
        <w:ind w:firstLineChars="200" w:firstLine="632"/>
        <w:jc w:val="left"/>
      </w:pPr>
      <w:r>
        <w:rPr>
          <w:rFonts w:ascii="黑体" w:eastAsia="黑体" w:hAnsi="黑体" w:hint="eastAsia"/>
        </w:rPr>
        <w:t>第二条</w:t>
      </w:r>
      <w:r w:rsidR="00AE50C8">
        <w:rPr>
          <w:rFonts w:ascii="黑体" w:eastAsia="黑体" w:hAnsi="黑体" w:hint="eastAsia"/>
        </w:rPr>
        <w:t xml:space="preserve">  </w:t>
      </w:r>
      <w:r>
        <w:rPr>
          <w:rFonts w:hint="eastAsia"/>
        </w:rPr>
        <w:t>各级人民政府应当将纠纷预防化解工作纳入平安建设</w:t>
      </w:r>
      <w:r>
        <w:rPr>
          <w:rFonts w:hint="eastAsia"/>
        </w:rPr>
        <w:t>，</w:t>
      </w:r>
      <w:r>
        <w:rPr>
          <w:rFonts w:hint="eastAsia"/>
        </w:rPr>
        <w:t>加强预防化解纠纷</w:t>
      </w:r>
      <w:r>
        <w:rPr>
          <w:rFonts w:hint="eastAsia"/>
        </w:rPr>
        <w:t>组织培育和</w:t>
      </w:r>
      <w:r>
        <w:rPr>
          <w:rFonts w:hint="eastAsia"/>
        </w:rPr>
        <w:t>能力建</w:t>
      </w:r>
      <w:r>
        <w:rPr>
          <w:rFonts w:hint="eastAsia"/>
        </w:rPr>
        <w:t>设</w:t>
      </w:r>
      <w:r>
        <w:rPr>
          <w:rFonts w:hint="eastAsia"/>
          <w:lang/>
        </w:rPr>
        <w:t>，</w:t>
      </w:r>
      <w:r>
        <w:rPr>
          <w:rFonts w:hint="eastAsia"/>
        </w:rPr>
        <w:t>督促</w:t>
      </w:r>
      <w:r>
        <w:rPr>
          <w:rFonts w:hint="eastAsia"/>
        </w:rPr>
        <w:t>有关部门和单位落实预防化解纠纷职责。</w:t>
      </w:r>
    </w:p>
    <w:p w:rsidR="007A39B7" w:rsidRDefault="0098536C">
      <w:pPr>
        <w:spacing w:line="600" w:lineRule="exact"/>
        <w:ind w:firstLineChars="200" w:firstLine="632"/>
      </w:pPr>
      <w:bookmarkStart w:id="1" w:name="_Hlk80527282"/>
      <w:r>
        <w:rPr>
          <w:rFonts w:hint="eastAsia"/>
        </w:rPr>
        <w:t>市、区（县）</w:t>
      </w:r>
      <w:r>
        <w:rPr>
          <w:rFonts w:hint="eastAsia"/>
        </w:rPr>
        <w:t>平安建设组织协调机构应当开展纠纷预防化解机制建设，协调预防化解各类纠纷，履行组织协调、督促检查、考核评估等职责，建立健全社会风险防控平台</w:t>
      </w:r>
      <w:r>
        <w:rPr>
          <w:rFonts w:hint="eastAsia"/>
        </w:rPr>
        <w:t>，</w:t>
      </w:r>
      <w:r>
        <w:rPr>
          <w:rFonts w:hint="eastAsia"/>
        </w:rPr>
        <w:t>组织开展</w:t>
      </w:r>
      <w:r>
        <w:rPr>
          <w:rFonts w:hint="eastAsia"/>
        </w:rPr>
        <w:t>对相关纠纷诉求</w:t>
      </w:r>
      <w:r>
        <w:rPr>
          <w:rFonts w:hint="eastAsia"/>
        </w:rPr>
        <w:t>统一受理、集中梳理、归口管理、依法处理、限期办理和跟踪落实工作</w:t>
      </w:r>
      <w:r>
        <w:rPr>
          <w:rFonts w:hint="eastAsia"/>
        </w:rPr>
        <w:t>，为预防化解纠纷提供联动保障。</w:t>
      </w:r>
      <w:bookmarkEnd w:id="1"/>
    </w:p>
    <w:p w:rsidR="007A39B7" w:rsidRDefault="0098536C">
      <w:pPr>
        <w:spacing w:line="600" w:lineRule="exact"/>
        <w:ind w:firstLineChars="200" w:firstLine="632"/>
        <w:rPr>
          <w:rFonts w:ascii="仿宋_GB2312" w:hAnsi="仿宋"/>
        </w:rPr>
      </w:pPr>
      <w:r>
        <w:rPr>
          <w:rFonts w:ascii="黑体" w:eastAsia="黑体" w:hAnsi="黑体" w:hint="eastAsia"/>
        </w:rPr>
        <w:t>第三条</w:t>
      </w:r>
      <w:r>
        <w:rPr>
          <w:rFonts w:ascii="黑体" w:eastAsia="黑体" w:hAnsi="黑体" w:hint="eastAsia"/>
        </w:rPr>
        <w:t xml:space="preserve"> </w:t>
      </w:r>
      <w:r>
        <w:rPr>
          <w:rFonts w:ascii="仿宋_GB2312" w:hAnsi="仿宋" w:hint="eastAsia"/>
        </w:rPr>
        <w:t xml:space="preserve"> </w:t>
      </w:r>
      <w:r>
        <w:rPr>
          <w:rFonts w:ascii="仿宋_GB2312" w:hAnsi="仿宋" w:hint="eastAsia"/>
        </w:rPr>
        <w:t>国家机关、</w:t>
      </w:r>
      <w:r>
        <w:rPr>
          <w:rFonts w:ascii="Arial" w:hAnsi="Arial" w:cs="Arial" w:hint="eastAsia"/>
          <w:kern w:val="0"/>
          <w:szCs w:val="19"/>
        </w:rPr>
        <w:t>人民团体、企业事业单位和其他社会组织应当建立健全本单位预防</w:t>
      </w:r>
      <w:r>
        <w:rPr>
          <w:rFonts w:ascii="Arial" w:hAnsi="Arial" w:cs="Arial"/>
          <w:kern w:val="0"/>
          <w:szCs w:val="19"/>
        </w:rPr>
        <w:t>化解纠纷</w:t>
      </w:r>
      <w:r>
        <w:rPr>
          <w:rFonts w:ascii="Arial" w:hAnsi="Arial" w:cs="Arial" w:hint="eastAsia"/>
          <w:kern w:val="0"/>
          <w:szCs w:val="19"/>
        </w:rPr>
        <w:t>工作</w:t>
      </w:r>
      <w:r>
        <w:rPr>
          <w:rFonts w:ascii="Arial" w:hAnsi="Arial" w:cs="Arial"/>
          <w:kern w:val="0"/>
          <w:szCs w:val="19"/>
        </w:rPr>
        <w:t>责任制</w:t>
      </w:r>
      <w:r>
        <w:rPr>
          <w:rFonts w:ascii="Arial" w:hAnsi="Arial" w:cs="Arial" w:hint="eastAsia"/>
          <w:kern w:val="0"/>
          <w:szCs w:val="19"/>
        </w:rPr>
        <w:t>，</w:t>
      </w:r>
      <w:r>
        <w:rPr>
          <w:rFonts w:ascii="Arial" w:hAnsi="Arial" w:cs="Arial"/>
          <w:kern w:val="0"/>
          <w:szCs w:val="19"/>
        </w:rPr>
        <w:t>明确纠纷</w:t>
      </w:r>
      <w:r>
        <w:rPr>
          <w:rFonts w:ascii="Arial" w:hAnsi="Arial" w:cs="Arial" w:hint="eastAsia"/>
          <w:kern w:val="0"/>
          <w:szCs w:val="19"/>
        </w:rPr>
        <w:t>预防</w:t>
      </w:r>
      <w:r>
        <w:rPr>
          <w:rFonts w:ascii="Arial" w:hAnsi="Arial" w:cs="Arial"/>
          <w:kern w:val="0"/>
          <w:szCs w:val="19"/>
        </w:rPr>
        <w:t>化解工作机构和</w:t>
      </w:r>
      <w:r>
        <w:rPr>
          <w:rFonts w:ascii="Arial" w:hAnsi="Arial" w:cs="Arial" w:hint="eastAsia"/>
          <w:kern w:val="0"/>
          <w:szCs w:val="19"/>
        </w:rPr>
        <w:t>责任</w:t>
      </w:r>
      <w:r>
        <w:rPr>
          <w:rFonts w:ascii="Arial" w:hAnsi="Arial" w:cs="Arial"/>
          <w:kern w:val="0"/>
          <w:szCs w:val="19"/>
        </w:rPr>
        <w:t>人员</w:t>
      </w:r>
      <w:r>
        <w:rPr>
          <w:rFonts w:ascii="Arial" w:hAnsi="Arial" w:cs="Arial" w:hint="eastAsia"/>
          <w:kern w:val="0"/>
          <w:szCs w:val="19"/>
        </w:rPr>
        <w:t>，</w:t>
      </w:r>
      <w:r>
        <w:rPr>
          <w:rFonts w:ascii="仿宋_GB2312" w:hAnsi="仿宋" w:hint="eastAsia"/>
        </w:rPr>
        <w:t>为本单位预防化解纠纷提供保障。</w:t>
      </w:r>
    </w:p>
    <w:p w:rsidR="007A39B7" w:rsidRDefault="007A39B7">
      <w:pPr>
        <w:spacing w:line="600" w:lineRule="exact"/>
        <w:rPr>
          <w:rFonts w:ascii="仿宋_GB2312" w:hAnsi="仿宋"/>
        </w:rPr>
      </w:pPr>
    </w:p>
    <w:p w:rsidR="007A39B7" w:rsidRDefault="0098536C">
      <w:pPr>
        <w:spacing w:line="600" w:lineRule="exact"/>
        <w:jc w:val="center"/>
        <w:rPr>
          <w:rFonts w:ascii="黑体" w:eastAsia="黑体" w:hAnsi="黑体"/>
        </w:rPr>
      </w:pPr>
      <w:r>
        <w:rPr>
          <w:rFonts w:ascii="黑体" w:eastAsia="黑体" w:hAnsi="黑体" w:hint="eastAsia"/>
        </w:rPr>
        <w:t>第二章</w:t>
      </w:r>
      <w:r>
        <w:rPr>
          <w:rFonts w:ascii="黑体" w:eastAsia="黑体" w:hAnsi="黑体" w:hint="eastAsia"/>
        </w:rPr>
        <w:t xml:space="preserve">  </w:t>
      </w:r>
      <w:r>
        <w:rPr>
          <w:rFonts w:ascii="黑体" w:eastAsia="黑体" w:hAnsi="黑体" w:hint="eastAsia"/>
        </w:rPr>
        <w:t>纠纷预防</w:t>
      </w:r>
    </w:p>
    <w:p w:rsidR="007A39B7" w:rsidRDefault="007A39B7">
      <w:pPr>
        <w:widowControl/>
        <w:shd w:val="clear" w:color="auto" w:fill="FFFFFF"/>
        <w:spacing w:line="600" w:lineRule="exact"/>
        <w:ind w:firstLineChars="200" w:firstLine="632"/>
        <w:textAlignment w:val="baseline"/>
      </w:pP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第四条</w:t>
      </w:r>
      <w:r>
        <w:rPr>
          <w:rFonts w:hint="eastAsia"/>
        </w:rPr>
        <w:t xml:space="preserve"> </w:t>
      </w:r>
      <w:r w:rsidR="00AE50C8">
        <w:rPr>
          <w:rFonts w:hint="eastAsia"/>
        </w:rPr>
        <w:t xml:space="preserve"> </w:t>
      </w:r>
      <w:r>
        <w:rPr>
          <w:rFonts w:hint="eastAsia"/>
        </w:rPr>
        <w:t>各级人民政府及其部门应当坚持依法行政，坚持科学、民主、依法决策；完善政府信息公开、听证、法律顾问等制度，落实重大行政决策必须履行公众参与、专家论证、风险评估、合法性审查、集体讨论决定的法定程序；健全完善行政执法工作体系，完善行政执法责任制，全面推行行政执法公示制度、执法</w:t>
      </w:r>
      <w:r>
        <w:rPr>
          <w:rFonts w:hint="eastAsia"/>
        </w:rPr>
        <w:lastRenderedPageBreak/>
        <w:t>全过程记录制</w:t>
      </w:r>
      <w:r>
        <w:rPr>
          <w:rFonts w:hint="eastAsia"/>
        </w:rPr>
        <w:t>度、重大执法决定法制审核制度；加强行政执法监督，依法及时纠正违法或者不适当行政执法行为，防止转化为行政争议。</w:t>
      </w: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第五条</w:t>
      </w:r>
      <w:r w:rsidR="00AE50C8">
        <w:rPr>
          <w:rFonts w:ascii="黑体" w:eastAsia="黑体" w:hAnsi="黑体" w:hint="eastAsia"/>
        </w:rPr>
        <w:t xml:space="preserve">  </w:t>
      </w:r>
      <w:r>
        <w:rPr>
          <w:rFonts w:hint="eastAsia"/>
        </w:rPr>
        <w:t>各级人民政府及其部门对涉及生态环境、食品药品、城市管理、社会保障、社会治安、土地承包、土地征收、房地产开发等管理、决策事项，作出可能对社会稳定产生影响的重大决策，应当事先开展社会风险评估。社会风险评估报告应当报同级平安建设组织协调机构。</w:t>
      </w:r>
    </w:p>
    <w:p w:rsidR="007A39B7" w:rsidRDefault="0098536C">
      <w:pPr>
        <w:widowControl/>
        <w:shd w:val="clear" w:color="auto" w:fill="FFFFFF"/>
        <w:spacing w:line="600" w:lineRule="exact"/>
        <w:ind w:firstLineChars="200" w:firstLine="632"/>
        <w:textAlignment w:val="baseline"/>
      </w:pPr>
      <w:r>
        <w:rPr>
          <w:rFonts w:hint="eastAsia"/>
        </w:rPr>
        <w:t>市、区（县）人民政府</w:t>
      </w:r>
      <w:r>
        <w:rPr>
          <w:rFonts w:hint="eastAsia"/>
        </w:rPr>
        <w:t>为了公共利益的需要，组织实施能源、交通、水利等基础设施建设项目或者公共事业项目的，应当保障有关当事人的合法权益；需要对自然人、</w:t>
      </w:r>
      <w:r>
        <w:rPr>
          <w:rFonts w:hint="eastAsia"/>
        </w:rPr>
        <w:t>法人、非法人组织</w:t>
      </w:r>
      <w:r>
        <w:rPr>
          <w:rFonts w:hint="eastAsia"/>
        </w:rPr>
        <w:t>的房屋或者其他财产实行征收、征用的，应当给予公平、合理补偿；造成当事人财产损失的，应当依法给予赔偿。</w:t>
      </w: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第六条</w:t>
      </w:r>
      <w:r>
        <w:rPr>
          <w:rFonts w:hint="eastAsia"/>
        </w:rPr>
        <w:t xml:space="preserve">  </w:t>
      </w:r>
      <w:r>
        <w:rPr>
          <w:rFonts w:hint="eastAsia"/>
        </w:rPr>
        <w:t>各级人民政府及其部门应当定期分析与所在领域相关的纠纷特点、规律和态势，开展纠纷研判、评估、预警、排查和控制等工作，发现纠纷符合预警条件的，应当</w:t>
      </w:r>
      <w:r>
        <w:rPr>
          <w:rFonts w:hint="eastAsia"/>
        </w:rPr>
        <w:t>及</w:t>
      </w:r>
      <w:r>
        <w:rPr>
          <w:rFonts w:hint="eastAsia"/>
        </w:rPr>
        <w:t>时报送同级社会风险防控平台。对跨行政区域、跨部门、跨行业，涉及人数众多、社会影响较大的纠纷，相关部门应当建立会商机制，加强联动配合，从源头上预防和减少纠纷。</w:t>
      </w:r>
    </w:p>
    <w:p w:rsidR="007A39B7" w:rsidRDefault="0098536C">
      <w:pPr>
        <w:widowControl/>
        <w:shd w:val="clear" w:color="auto" w:fill="FFFFFF"/>
        <w:spacing w:line="600" w:lineRule="exact"/>
        <w:ind w:firstLineChars="200" w:firstLine="632"/>
        <w:textAlignment w:val="baseline"/>
      </w:pPr>
      <w:r>
        <w:rPr>
          <w:rFonts w:hint="eastAsia"/>
        </w:rPr>
        <w:t>镇人民政府、街道办事处应当组织协调辖区内公安、民政、司法行政、</w:t>
      </w:r>
      <w:r>
        <w:rPr>
          <w:rFonts w:hint="eastAsia"/>
        </w:rPr>
        <w:t>人力资源社会</w:t>
      </w:r>
      <w:r>
        <w:rPr>
          <w:rFonts w:hint="eastAsia"/>
        </w:rPr>
        <w:t>保障、自</w:t>
      </w:r>
      <w:r>
        <w:rPr>
          <w:rFonts w:hint="eastAsia"/>
        </w:rPr>
        <w:t>然资源、市场监管、城市管理</w:t>
      </w:r>
      <w:r>
        <w:rPr>
          <w:rFonts w:hint="eastAsia"/>
        </w:rPr>
        <w:lastRenderedPageBreak/>
        <w:t>等有关单位，村（居）民委员会和调解组织等，开展纠纷预防、排查和化解工作。对排查和报送的纠纷，符合预警条件的，应当及时处理，并报告区（县）平安建设组织协调机构。</w:t>
      </w: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第七条</w:t>
      </w:r>
      <w:r w:rsidR="00AE50C8">
        <w:rPr>
          <w:rFonts w:ascii="黑体" w:eastAsia="黑体" w:hAnsi="黑体" w:hint="eastAsia"/>
        </w:rPr>
        <w:t xml:space="preserve">  </w:t>
      </w:r>
      <w:r>
        <w:rPr>
          <w:rFonts w:hint="eastAsia"/>
        </w:rPr>
        <w:t>监察委员会、人民法院、人民检察院在依法履职中发现矛盾、风险突出的领域或者问题，应当依法向有关单位提出改进工作、完善治理的监察建议、司法建议、检察建议，发布典型案例，及时预防化解纠纷。</w:t>
      </w: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第八条</w:t>
      </w:r>
      <w:r>
        <w:rPr>
          <w:rFonts w:hint="eastAsia"/>
        </w:rPr>
        <w:t xml:space="preserve">  </w:t>
      </w:r>
      <w:r>
        <w:rPr>
          <w:rFonts w:hint="eastAsia"/>
        </w:rPr>
        <w:t>工会、共青团、妇联、工商联、残联等人民团体应当</w:t>
      </w:r>
      <w:r>
        <w:rPr>
          <w:rFonts w:hint="eastAsia"/>
        </w:rPr>
        <w:t>发挥各自的组织优势</w:t>
      </w:r>
      <w:r>
        <w:rPr>
          <w:rFonts w:hint="eastAsia"/>
        </w:rPr>
        <w:t>，参与预防化解纠纷机制建设，共同做好预防化解纠纷工作。</w:t>
      </w:r>
    </w:p>
    <w:p w:rsidR="007A39B7" w:rsidRDefault="0098536C">
      <w:pPr>
        <w:widowControl/>
        <w:shd w:val="clear" w:color="auto" w:fill="FFFFFF"/>
        <w:spacing w:line="600" w:lineRule="exact"/>
        <w:ind w:firstLineChars="200" w:firstLine="632"/>
        <w:textAlignment w:val="baseline"/>
      </w:pPr>
      <w:r>
        <w:rPr>
          <w:rFonts w:hint="eastAsia"/>
        </w:rPr>
        <w:t>培育发</w:t>
      </w:r>
      <w:r>
        <w:rPr>
          <w:rFonts w:hint="eastAsia"/>
        </w:rPr>
        <w:t>展社会组织，发挥各类社会组织提供服务、反映诉求、规范行为的作用。</w:t>
      </w:r>
    </w:p>
    <w:p w:rsidR="007A39B7" w:rsidRDefault="0098536C">
      <w:pPr>
        <w:widowControl/>
        <w:shd w:val="clear" w:color="auto" w:fill="FFFFFF"/>
        <w:spacing w:line="600" w:lineRule="exact"/>
        <w:ind w:firstLineChars="200" w:firstLine="632"/>
        <w:textAlignment w:val="baseline"/>
      </w:pPr>
      <w:r>
        <w:rPr>
          <w:rFonts w:hint="eastAsia"/>
        </w:rPr>
        <w:t>企业事业单位应当坚持依法依规办事、依章程办事，切实维护本单位职工和相关当事人的正当权益</w:t>
      </w:r>
      <w:r>
        <w:rPr>
          <w:rFonts w:hint="eastAsia"/>
        </w:rPr>
        <w:t>，防止违法违规违背章程办事引发纠纷。</w:t>
      </w:r>
    </w:p>
    <w:p w:rsidR="007A39B7" w:rsidRDefault="0098536C">
      <w:pPr>
        <w:widowControl/>
        <w:shd w:val="clear" w:color="auto" w:fill="FFFFFF"/>
        <w:spacing w:line="600" w:lineRule="exact"/>
        <w:ind w:firstLineChars="200" w:firstLine="632"/>
        <w:textAlignment w:val="baseline"/>
      </w:pPr>
      <w:bookmarkStart w:id="2" w:name="_Hlk80534377"/>
      <w:r>
        <w:rPr>
          <w:rFonts w:ascii="黑体" w:eastAsia="黑体" w:hAnsi="黑体" w:hint="eastAsia"/>
        </w:rPr>
        <w:t>第</w:t>
      </w:r>
      <w:r>
        <w:rPr>
          <w:rFonts w:ascii="黑体" w:eastAsia="黑体" w:hAnsi="黑体" w:hint="eastAsia"/>
        </w:rPr>
        <w:t>九</w:t>
      </w:r>
      <w:r>
        <w:rPr>
          <w:rFonts w:ascii="黑体" w:eastAsia="黑体" w:hAnsi="黑体" w:hint="eastAsia"/>
        </w:rPr>
        <w:t>条</w:t>
      </w:r>
      <w:r w:rsidR="00AE50C8">
        <w:rPr>
          <w:rFonts w:ascii="黑体" w:eastAsia="黑体" w:hAnsi="黑体" w:hint="eastAsia"/>
        </w:rPr>
        <w:t xml:space="preserve">  </w:t>
      </w:r>
      <w:r>
        <w:rPr>
          <w:rFonts w:hint="eastAsia"/>
        </w:rPr>
        <w:t>各级人民政府应当</w:t>
      </w:r>
      <w:r>
        <w:rPr>
          <w:rFonts w:hint="eastAsia"/>
        </w:rPr>
        <w:t>组织</w:t>
      </w:r>
      <w:r>
        <w:rPr>
          <w:rFonts w:hint="eastAsia"/>
        </w:rPr>
        <w:t>建立健全社会心理服务体系，加强心理健康专业队伍建设，完善心理健康专业队伍培训制度，开展居民心理健康水平监测。</w:t>
      </w:r>
    </w:p>
    <w:p w:rsidR="007A39B7" w:rsidRDefault="0098536C">
      <w:pPr>
        <w:widowControl/>
        <w:shd w:val="clear" w:color="auto" w:fill="FFFFFF"/>
        <w:spacing w:line="600" w:lineRule="exact"/>
        <w:ind w:firstLineChars="200" w:firstLine="632"/>
        <w:textAlignment w:val="baseline"/>
      </w:pPr>
      <w:r>
        <w:rPr>
          <w:rFonts w:hint="eastAsia"/>
        </w:rPr>
        <w:t>公安、民政、卫生健康、医保、残联等</w:t>
      </w:r>
      <w:r>
        <w:rPr>
          <w:rFonts w:hint="eastAsia"/>
        </w:rPr>
        <w:t>单位</w:t>
      </w:r>
      <w:r>
        <w:rPr>
          <w:rFonts w:hint="eastAsia"/>
        </w:rPr>
        <w:t>应当按照各自职责建立关于严重精神障碍患者的信息互通机制，加强信息共享，完善转介与跟踪、危机干预、帮扶救助等心理健康服务机制。</w:t>
      </w:r>
      <w:r>
        <w:rPr>
          <w:rFonts w:hint="eastAsia"/>
        </w:rPr>
        <w:br/>
      </w:r>
      <w:r>
        <w:rPr>
          <w:rFonts w:hint="eastAsia"/>
        </w:rPr>
        <w:lastRenderedPageBreak/>
        <w:t xml:space="preserve">　　教育、公安、司法行</w:t>
      </w:r>
      <w:r>
        <w:rPr>
          <w:rFonts w:hint="eastAsia"/>
        </w:rPr>
        <w:t>政、卫生健康、共青团、妇联等</w:t>
      </w:r>
      <w:r>
        <w:rPr>
          <w:rFonts w:hint="eastAsia"/>
        </w:rPr>
        <w:t>单位</w:t>
      </w:r>
      <w:r>
        <w:rPr>
          <w:rFonts w:hint="eastAsia"/>
        </w:rPr>
        <w:t>应当按照各自职责加强学生心理健康教育，开展校内外心理辅导等项目。支持有条件的单位建立心理工作室，为当事人提供专业的心理辅导、情绪疏解、家庭关系调适等心理疏导服务。</w:t>
      </w: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第十条</w:t>
      </w:r>
      <w:bookmarkEnd w:id="2"/>
      <w:r w:rsidR="00AE50C8">
        <w:rPr>
          <w:rFonts w:ascii="黑体" w:eastAsia="黑体" w:hAnsi="黑体" w:hint="eastAsia"/>
        </w:rPr>
        <w:t xml:space="preserve">  </w:t>
      </w:r>
      <w:r>
        <w:rPr>
          <w:rFonts w:hint="eastAsia"/>
        </w:rPr>
        <w:t>市、区（县）人民政府应当建立完善</w:t>
      </w:r>
      <w:r>
        <w:rPr>
          <w:rFonts w:hint="eastAsia"/>
        </w:rPr>
        <w:t>12345</w:t>
      </w:r>
      <w:r>
        <w:rPr>
          <w:rFonts w:hint="eastAsia"/>
        </w:rPr>
        <w:t>政务服务便民热线行政机关负责人现场接听制度</w:t>
      </w:r>
      <w:r>
        <w:rPr>
          <w:rFonts w:hint="eastAsia"/>
        </w:rPr>
        <w:t>。</w:t>
      </w:r>
      <w:r>
        <w:rPr>
          <w:rFonts w:hint="eastAsia"/>
        </w:rPr>
        <w:t>各级人民政府及其工作部门应当建立完善信访接待日制度和投诉举报制度，及时</w:t>
      </w:r>
      <w:r>
        <w:rPr>
          <w:rFonts w:hint="eastAsia"/>
        </w:rPr>
        <w:t>受理、</w:t>
      </w:r>
      <w:r>
        <w:rPr>
          <w:rFonts w:hint="eastAsia"/>
        </w:rPr>
        <w:t>依法办理、强化监督，</w:t>
      </w:r>
      <w:r>
        <w:rPr>
          <w:rFonts w:hint="eastAsia"/>
        </w:rPr>
        <w:t>解决自然人、法人和非法人组织的合法合理诉求</w:t>
      </w:r>
      <w:r>
        <w:rPr>
          <w:rFonts w:hint="eastAsia"/>
        </w:rPr>
        <w:t>；对不合法不合理的诉求，应当予以解释和说明。</w:t>
      </w: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第十</w:t>
      </w:r>
      <w:r>
        <w:rPr>
          <w:rFonts w:ascii="黑体" w:eastAsia="黑体" w:hAnsi="黑体" w:hint="eastAsia"/>
        </w:rPr>
        <w:t>一</w:t>
      </w:r>
      <w:r>
        <w:rPr>
          <w:rFonts w:ascii="黑体" w:eastAsia="黑体" w:hAnsi="黑体" w:hint="eastAsia"/>
        </w:rPr>
        <w:t>条</w:t>
      </w:r>
      <w:r w:rsidR="00AE50C8">
        <w:rPr>
          <w:rFonts w:ascii="黑体" w:eastAsia="黑体" w:hAnsi="黑体" w:hint="eastAsia"/>
        </w:rPr>
        <w:t xml:space="preserve">  </w:t>
      </w:r>
      <w:r>
        <w:rPr>
          <w:rFonts w:hint="eastAsia"/>
        </w:rPr>
        <w:t>建立健全社会保险、社会救助、社会福利、社会优抚和慈善事业相衔接的社会保障体系。</w:t>
      </w:r>
    </w:p>
    <w:p w:rsidR="007A39B7" w:rsidRDefault="0098536C">
      <w:pPr>
        <w:widowControl/>
        <w:shd w:val="clear" w:color="auto" w:fill="FFFFFF"/>
        <w:spacing w:line="600" w:lineRule="exact"/>
        <w:ind w:firstLineChars="200" w:firstLine="632"/>
        <w:textAlignment w:val="baseline"/>
      </w:pPr>
      <w:r>
        <w:rPr>
          <w:rFonts w:hint="eastAsia"/>
        </w:rPr>
        <w:t>各级人民政府应当依法扩大养老、失业、医疗、工伤、生育等社会保险的覆盖面，开展特殊群体的社会救助、社会福利和优抚保障服务，完善失业人员的再就业服务和社会保障，健全城乡居民最低生活保障制度。</w:t>
      </w:r>
    </w:p>
    <w:p w:rsidR="007A39B7" w:rsidRDefault="0098536C">
      <w:pPr>
        <w:widowControl/>
        <w:shd w:val="clear" w:color="auto" w:fill="FFFFFF"/>
        <w:spacing w:line="600" w:lineRule="exact"/>
        <w:ind w:firstLineChars="200" w:firstLine="632"/>
        <w:textAlignment w:val="baseline"/>
      </w:pPr>
      <w:r>
        <w:rPr>
          <w:rFonts w:hint="eastAsia"/>
        </w:rPr>
        <w:t>发展慈善事业，发挥慈善组织在扶贫、济困、扶老、救孤、恤病、助残、优抚等方面的作用。</w:t>
      </w: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第十</w:t>
      </w:r>
      <w:r>
        <w:rPr>
          <w:rFonts w:ascii="黑体" w:eastAsia="黑体" w:hAnsi="黑体" w:hint="eastAsia"/>
        </w:rPr>
        <w:t>二</w:t>
      </w:r>
      <w:r>
        <w:rPr>
          <w:rFonts w:ascii="黑体" w:eastAsia="黑体" w:hAnsi="黑体" w:hint="eastAsia"/>
        </w:rPr>
        <w:t>条</w:t>
      </w:r>
      <w:r>
        <w:rPr>
          <w:rFonts w:ascii="黑体" w:eastAsia="黑体" w:hAnsi="黑体" w:hint="eastAsia"/>
        </w:rPr>
        <w:t xml:space="preserve"> </w:t>
      </w:r>
      <w:r>
        <w:rPr>
          <w:rFonts w:hint="eastAsia"/>
        </w:rPr>
        <w:t xml:space="preserve"> </w:t>
      </w:r>
      <w:r>
        <w:rPr>
          <w:rFonts w:hint="eastAsia"/>
        </w:rPr>
        <w:t>国家机关、人民团体、企业事业单位和其他社会组织应当开展法治宣传教育</w:t>
      </w:r>
      <w:r>
        <w:rPr>
          <w:rFonts w:hint="eastAsia"/>
        </w:rPr>
        <w:t>，加强</w:t>
      </w:r>
      <w:r>
        <w:rPr>
          <w:rFonts w:hint="eastAsia"/>
        </w:rPr>
        <w:t>社会主义精神文明建设，推进社会公德、职业道德、家庭美德、个人品德建设，在全社</w:t>
      </w:r>
      <w:r>
        <w:rPr>
          <w:rFonts w:hint="eastAsia"/>
        </w:rPr>
        <w:t>会弘扬和践行社会主义核心价值观。</w:t>
      </w:r>
    </w:p>
    <w:p w:rsidR="007A39B7" w:rsidRDefault="0098536C">
      <w:pPr>
        <w:widowControl/>
        <w:shd w:val="clear" w:color="auto" w:fill="FFFFFF"/>
        <w:spacing w:line="600" w:lineRule="exact"/>
        <w:ind w:firstLineChars="200" w:firstLine="632"/>
        <w:textAlignment w:val="baseline"/>
      </w:pPr>
      <w:r>
        <w:rPr>
          <w:rFonts w:hint="eastAsia"/>
        </w:rPr>
        <w:lastRenderedPageBreak/>
        <w:t>发挥法官、检察官、行政复议人员、行政执法人员、律师、公证员、仲裁员、法学专家等法治工作队伍的作用，培育自尊自信、理性平和、积极向上的社会心态，引导公众自觉遵守法律法规和尊重公序良俗，依法理性表达利益诉求、解决利益纠纷、维护合法权益。</w:t>
      </w: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第十</w:t>
      </w:r>
      <w:r>
        <w:rPr>
          <w:rFonts w:ascii="黑体" w:eastAsia="黑体" w:hAnsi="黑体" w:hint="eastAsia"/>
        </w:rPr>
        <w:t>三</w:t>
      </w:r>
      <w:r>
        <w:rPr>
          <w:rFonts w:ascii="黑体" w:eastAsia="黑体" w:hAnsi="黑体" w:hint="eastAsia"/>
        </w:rPr>
        <w:t>条</w:t>
      </w:r>
      <w:r>
        <w:rPr>
          <w:rFonts w:hint="eastAsia"/>
        </w:rPr>
        <w:t xml:space="preserve">  </w:t>
      </w:r>
      <w:r>
        <w:rPr>
          <w:rFonts w:hint="eastAsia"/>
        </w:rPr>
        <w:t>支持村（居）民委员会、业主委员会协助政府做好基层公共服务和社会治理工作，发挥其协调利益、排忧解难、预防纠纷的作用。</w:t>
      </w:r>
    </w:p>
    <w:p w:rsidR="007A39B7" w:rsidRDefault="0098536C">
      <w:pPr>
        <w:widowControl/>
        <w:shd w:val="clear" w:color="auto" w:fill="FFFFFF"/>
        <w:spacing w:line="600" w:lineRule="exact"/>
        <w:ind w:firstLineChars="200" w:firstLine="632"/>
        <w:textAlignment w:val="baseline"/>
      </w:pPr>
      <w:r>
        <w:rPr>
          <w:rFonts w:hint="eastAsia"/>
        </w:rPr>
        <w:t>推进市民公约、乡规民约、行业规范、团体章程等建设，发挥其在协调利益、引导行为、预防化解纠纷等方面的作用。</w:t>
      </w:r>
    </w:p>
    <w:p w:rsidR="007A39B7" w:rsidRDefault="007A39B7">
      <w:pPr>
        <w:widowControl/>
        <w:shd w:val="clear" w:color="auto" w:fill="FFFFFF"/>
        <w:spacing w:line="600" w:lineRule="exact"/>
        <w:ind w:firstLineChars="200" w:firstLine="632"/>
        <w:textAlignment w:val="baseline"/>
      </w:pPr>
    </w:p>
    <w:p w:rsidR="007A39B7" w:rsidRDefault="0098536C">
      <w:pPr>
        <w:spacing w:line="600" w:lineRule="exact"/>
        <w:jc w:val="center"/>
        <w:rPr>
          <w:rFonts w:ascii="黑体" w:eastAsia="黑体" w:hAnsi="黑体"/>
        </w:rPr>
      </w:pPr>
      <w:r>
        <w:rPr>
          <w:rFonts w:ascii="仿宋_GB2312" w:hAnsi="仿宋" w:hint="eastAsia"/>
          <w:spacing w:val="-4"/>
        </w:rPr>
        <w:t xml:space="preserve">　　</w:t>
      </w:r>
      <w:r>
        <w:rPr>
          <w:rFonts w:ascii="黑体" w:eastAsia="黑体" w:hAnsi="黑体" w:hint="eastAsia"/>
        </w:rPr>
        <w:t>第三章</w:t>
      </w:r>
      <w:r>
        <w:rPr>
          <w:rFonts w:ascii="黑体" w:eastAsia="黑体" w:hAnsi="黑体" w:hint="eastAsia"/>
        </w:rPr>
        <w:t xml:space="preserve">  </w:t>
      </w:r>
      <w:r>
        <w:rPr>
          <w:rFonts w:ascii="黑体" w:eastAsia="黑体" w:hAnsi="黑体" w:hint="eastAsia"/>
        </w:rPr>
        <w:t>纠纷化解</w:t>
      </w:r>
    </w:p>
    <w:p w:rsidR="007A39B7" w:rsidRDefault="007A39B7">
      <w:pPr>
        <w:widowControl/>
        <w:shd w:val="clear" w:color="auto" w:fill="FFFFFF"/>
        <w:spacing w:line="600" w:lineRule="exact"/>
        <w:ind w:firstLineChars="200" w:firstLine="632"/>
        <w:textAlignment w:val="baseline"/>
      </w:pP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第十</w:t>
      </w:r>
      <w:r>
        <w:rPr>
          <w:rFonts w:ascii="黑体" w:eastAsia="黑体" w:hAnsi="黑体" w:hint="eastAsia"/>
        </w:rPr>
        <w:t>四</w:t>
      </w:r>
      <w:r>
        <w:rPr>
          <w:rFonts w:ascii="黑体" w:eastAsia="黑体" w:hAnsi="黑体" w:hint="eastAsia"/>
        </w:rPr>
        <w:t>条</w:t>
      </w:r>
      <w:r>
        <w:rPr>
          <w:rFonts w:ascii="黑体" w:eastAsia="黑体" w:hAnsi="黑体" w:hint="eastAsia"/>
        </w:rPr>
        <w:t xml:space="preserve"> </w:t>
      </w:r>
      <w:r>
        <w:rPr>
          <w:rFonts w:hint="eastAsia"/>
        </w:rPr>
        <w:t xml:space="preserve"> </w:t>
      </w:r>
      <w:r>
        <w:rPr>
          <w:rFonts w:hint="eastAsia"/>
        </w:rPr>
        <w:t>建立健全纠纷多元化解机制。当事人有权依法自主选择下列化解纠纷方式：</w:t>
      </w:r>
    </w:p>
    <w:p w:rsidR="007A39B7" w:rsidRDefault="0098536C">
      <w:pPr>
        <w:widowControl/>
        <w:shd w:val="clear" w:color="auto" w:fill="FFFFFF"/>
        <w:spacing w:line="600" w:lineRule="exact"/>
        <w:ind w:firstLineChars="200" w:firstLine="632"/>
        <w:textAlignment w:val="baseline"/>
      </w:pPr>
      <w:r>
        <w:rPr>
          <w:rFonts w:hint="eastAsia"/>
        </w:rPr>
        <w:t>（一）和解</w:t>
      </w:r>
      <w:r>
        <w:rPr>
          <w:rFonts w:hint="eastAsia"/>
        </w:rPr>
        <w:t>;</w:t>
      </w:r>
    </w:p>
    <w:p w:rsidR="007A39B7" w:rsidRDefault="0098536C">
      <w:pPr>
        <w:widowControl/>
        <w:shd w:val="clear" w:color="auto" w:fill="FFFFFF"/>
        <w:spacing w:line="600" w:lineRule="exact"/>
        <w:ind w:firstLineChars="200" w:firstLine="632"/>
        <w:textAlignment w:val="baseline"/>
      </w:pPr>
      <w:r>
        <w:rPr>
          <w:rFonts w:hint="eastAsia"/>
        </w:rPr>
        <w:t>（二）调解</w:t>
      </w:r>
      <w:r>
        <w:rPr>
          <w:rFonts w:hint="eastAsia"/>
        </w:rPr>
        <w:t>;</w:t>
      </w:r>
    </w:p>
    <w:p w:rsidR="007A39B7" w:rsidRDefault="0098536C">
      <w:pPr>
        <w:widowControl/>
        <w:shd w:val="clear" w:color="auto" w:fill="FFFFFF"/>
        <w:spacing w:line="600" w:lineRule="exact"/>
        <w:ind w:firstLineChars="200" w:firstLine="632"/>
        <w:textAlignment w:val="baseline"/>
      </w:pPr>
      <w:r>
        <w:rPr>
          <w:rFonts w:hint="eastAsia"/>
        </w:rPr>
        <w:t>（三）行政裁决</w:t>
      </w:r>
      <w:r>
        <w:rPr>
          <w:rFonts w:hint="eastAsia"/>
        </w:rPr>
        <w:t>;</w:t>
      </w:r>
    </w:p>
    <w:p w:rsidR="007A39B7" w:rsidRDefault="0098536C">
      <w:pPr>
        <w:widowControl/>
        <w:shd w:val="clear" w:color="auto" w:fill="FFFFFF"/>
        <w:spacing w:line="600" w:lineRule="exact"/>
        <w:ind w:firstLineChars="200" w:firstLine="632"/>
        <w:textAlignment w:val="baseline"/>
      </w:pPr>
      <w:r>
        <w:rPr>
          <w:rFonts w:hint="eastAsia"/>
        </w:rPr>
        <w:t>（四）行政复议</w:t>
      </w:r>
      <w:r>
        <w:rPr>
          <w:rFonts w:hint="eastAsia"/>
        </w:rPr>
        <w:t>;</w:t>
      </w:r>
    </w:p>
    <w:p w:rsidR="007A39B7" w:rsidRDefault="0098536C">
      <w:pPr>
        <w:widowControl/>
        <w:shd w:val="clear" w:color="auto" w:fill="FFFFFF"/>
        <w:spacing w:line="600" w:lineRule="exact"/>
        <w:ind w:firstLineChars="200" w:firstLine="632"/>
        <w:textAlignment w:val="baseline"/>
      </w:pPr>
      <w:r>
        <w:rPr>
          <w:rFonts w:hint="eastAsia"/>
        </w:rPr>
        <w:t>（五）仲裁</w:t>
      </w:r>
      <w:r>
        <w:rPr>
          <w:rFonts w:hint="eastAsia"/>
        </w:rPr>
        <w:t>;</w:t>
      </w:r>
    </w:p>
    <w:p w:rsidR="007A39B7" w:rsidRDefault="0098536C">
      <w:pPr>
        <w:widowControl/>
        <w:shd w:val="clear" w:color="auto" w:fill="FFFFFF"/>
        <w:spacing w:line="600" w:lineRule="exact"/>
        <w:ind w:firstLineChars="200" w:firstLine="632"/>
        <w:textAlignment w:val="baseline"/>
      </w:pPr>
      <w:r>
        <w:rPr>
          <w:rFonts w:hint="eastAsia"/>
        </w:rPr>
        <w:t>（六）诉讼</w:t>
      </w:r>
      <w:r>
        <w:rPr>
          <w:rFonts w:hint="eastAsia"/>
        </w:rPr>
        <w:t>;</w:t>
      </w:r>
    </w:p>
    <w:p w:rsidR="007A39B7" w:rsidRDefault="0098536C">
      <w:pPr>
        <w:widowControl/>
        <w:shd w:val="clear" w:color="auto" w:fill="FFFFFF"/>
        <w:spacing w:line="600" w:lineRule="exact"/>
        <w:ind w:firstLineChars="200" w:firstLine="632"/>
        <w:textAlignment w:val="baseline"/>
      </w:pPr>
      <w:r>
        <w:rPr>
          <w:rFonts w:hint="eastAsia"/>
        </w:rPr>
        <w:lastRenderedPageBreak/>
        <w:t>（七）法律法规规定的其他方式。</w:t>
      </w: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第十</w:t>
      </w:r>
      <w:r>
        <w:rPr>
          <w:rFonts w:ascii="黑体" w:eastAsia="黑体" w:hAnsi="黑体" w:hint="eastAsia"/>
        </w:rPr>
        <w:t>五</w:t>
      </w:r>
      <w:r>
        <w:rPr>
          <w:rFonts w:ascii="黑体" w:eastAsia="黑体" w:hAnsi="黑体" w:hint="eastAsia"/>
        </w:rPr>
        <w:t>条</w:t>
      </w:r>
      <w:r w:rsidR="00AE50C8">
        <w:rPr>
          <w:rFonts w:ascii="黑体" w:eastAsia="黑体" w:hAnsi="黑体" w:hint="eastAsia"/>
        </w:rPr>
        <w:t xml:space="preserve">  </w:t>
      </w:r>
      <w:r>
        <w:rPr>
          <w:rFonts w:hint="eastAsia"/>
        </w:rPr>
        <w:t>有关</w:t>
      </w:r>
      <w:r>
        <w:rPr>
          <w:rFonts w:hint="eastAsia"/>
        </w:rPr>
        <w:t>国家机关、人民团体、企业事业单位和其他社会组织</w:t>
      </w:r>
      <w:r>
        <w:rPr>
          <w:rFonts w:hint="eastAsia"/>
        </w:rPr>
        <w:t>受理</w:t>
      </w:r>
      <w:r>
        <w:rPr>
          <w:rFonts w:hint="eastAsia"/>
        </w:rPr>
        <w:t>当事人化解纠纷申请后，应当遵循和解、调解优先的原则</w:t>
      </w:r>
      <w:r>
        <w:rPr>
          <w:rFonts w:hint="eastAsia"/>
        </w:rPr>
        <w:t>及时处理。</w:t>
      </w:r>
    </w:p>
    <w:p w:rsidR="007A39B7" w:rsidRDefault="0098536C">
      <w:pPr>
        <w:widowControl/>
        <w:shd w:val="clear" w:color="auto" w:fill="FFFFFF"/>
        <w:spacing w:line="600" w:lineRule="exact"/>
        <w:ind w:firstLineChars="200" w:firstLine="632"/>
        <w:textAlignment w:val="baseline"/>
      </w:pPr>
      <w:r>
        <w:rPr>
          <w:rFonts w:hint="eastAsia"/>
        </w:rPr>
        <w:t>依法达成的和解、调解协议，当事人应当履行。</w:t>
      </w:r>
    </w:p>
    <w:p w:rsidR="007A39B7" w:rsidRDefault="0098536C">
      <w:pPr>
        <w:widowControl/>
        <w:shd w:val="clear" w:color="auto" w:fill="FFFFFF"/>
        <w:spacing w:line="600" w:lineRule="exact"/>
        <w:ind w:firstLineChars="200" w:firstLine="632"/>
        <w:textAlignment w:val="baseline"/>
      </w:pPr>
      <w:r>
        <w:rPr>
          <w:rFonts w:hint="eastAsia"/>
        </w:rPr>
        <w:t>经行政机关</w:t>
      </w:r>
      <w:r>
        <w:rPr>
          <w:rFonts w:hint="eastAsia"/>
        </w:rPr>
        <w:t>或者调解</w:t>
      </w:r>
      <w:r>
        <w:rPr>
          <w:rFonts w:hint="eastAsia"/>
        </w:rPr>
        <w:t>组织调解达成的调解协议，当事人可以依法向人民法院申请司法确认，人民法院应当及时审查，依法确认其效力。</w:t>
      </w: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第十</w:t>
      </w:r>
      <w:r>
        <w:rPr>
          <w:rFonts w:ascii="黑体" w:eastAsia="黑体" w:hAnsi="黑体" w:hint="eastAsia"/>
        </w:rPr>
        <w:t>六</w:t>
      </w:r>
      <w:r>
        <w:rPr>
          <w:rFonts w:ascii="黑体" w:eastAsia="黑体" w:hAnsi="黑体" w:hint="eastAsia"/>
        </w:rPr>
        <w:t>条</w:t>
      </w:r>
      <w:r>
        <w:rPr>
          <w:rFonts w:hint="eastAsia"/>
        </w:rPr>
        <w:t xml:space="preserve"> </w:t>
      </w:r>
      <w:r w:rsidR="00AE50C8">
        <w:rPr>
          <w:rFonts w:hint="eastAsia"/>
        </w:rPr>
        <w:t xml:space="preserve"> </w:t>
      </w:r>
      <w:r>
        <w:rPr>
          <w:rFonts w:hint="eastAsia"/>
        </w:rPr>
        <w:t>涉及治安管理、交通损害赔偿、房屋土地征收、拆迁补偿、建筑施工、物业管理、生态环境、社会保障、医疗卫生、知识产权、消费者权益保护等依法可以调解的行政争议或者与行政管理有关的民事纠纷，当事人可以依法向</w:t>
      </w:r>
      <w:r>
        <w:rPr>
          <w:rFonts w:hint="eastAsia"/>
        </w:rPr>
        <w:t>有关行政机关</w:t>
      </w:r>
      <w:r>
        <w:rPr>
          <w:rFonts w:hint="eastAsia"/>
        </w:rPr>
        <w:t>提出行政调解申请。有关行政机关应当根据当事人的申请，依法予以调解；不同意调解或者调解不成的，应当告知当事人通过行政裁决、行政复议、仲裁、诉讼等方式化解纠纷。</w:t>
      </w:r>
    </w:p>
    <w:p w:rsidR="007A39B7" w:rsidRDefault="0098536C">
      <w:pPr>
        <w:widowControl/>
        <w:shd w:val="clear" w:color="auto" w:fill="FFFFFF"/>
        <w:spacing w:line="600" w:lineRule="exact"/>
        <w:ind w:firstLineChars="200" w:firstLine="632"/>
        <w:textAlignment w:val="baseline"/>
      </w:pPr>
      <w:r>
        <w:rPr>
          <w:rFonts w:hint="eastAsia"/>
        </w:rPr>
        <w:t>行政机关对资源开发、生态环境、公共安全、经济安全等方面的纠纷，以及涉及人数较多、影响较大、可能影响社会稳定的纠纷，应当采取预防措施并依</w:t>
      </w:r>
      <w:r>
        <w:rPr>
          <w:rFonts w:hint="eastAsia"/>
        </w:rPr>
        <w:t>职权主动进行调解。</w:t>
      </w: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第十</w:t>
      </w:r>
      <w:r>
        <w:rPr>
          <w:rFonts w:ascii="黑体" w:eastAsia="黑体" w:hAnsi="黑体" w:hint="eastAsia"/>
        </w:rPr>
        <w:t>七</w:t>
      </w:r>
      <w:r>
        <w:rPr>
          <w:rFonts w:ascii="黑体" w:eastAsia="黑体" w:hAnsi="黑体" w:hint="eastAsia"/>
        </w:rPr>
        <w:t>条</w:t>
      </w:r>
      <w:r>
        <w:rPr>
          <w:rFonts w:hint="eastAsia"/>
        </w:rPr>
        <w:t xml:space="preserve"> </w:t>
      </w:r>
      <w:r w:rsidR="00AE50C8">
        <w:rPr>
          <w:rFonts w:hint="eastAsia"/>
        </w:rPr>
        <w:t xml:space="preserve"> </w:t>
      </w:r>
      <w:r>
        <w:rPr>
          <w:rFonts w:hint="eastAsia"/>
        </w:rPr>
        <w:t>涉及民事纠纷</w:t>
      </w:r>
      <w:r>
        <w:rPr>
          <w:rFonts w:hint="eastAsia"/>
        </w:rPr>
        <w:t>和劳动人事争议</w:t>
      </w:r>
      <w:r>
        <w:rPr>
          <w:rFonts w:hint="eastAsia"/>
        </w:rPr>
        <w:t>，当事人可以向人民调解委员会等调解组织提出调解申请。人民调解委员会等调解</w:t>
      </w:r>
      <w:r>
        <w:rPr>
          <w:rFonts w:hint="eastAsia"/>
        </w:rPr>
        <w:lastRenderedPageBreak/>
        <w:t>组织对当事人未申请调解的纠纷，可以主动告知、引导当事人通过调解化解纠纷。</w:t>
      </w:r>
    </w:p>
    <w:p w:rsidR="007A39B7" w:rsidRDefault="0098536C">
      <w:pPr>
        <w:widowControl/>
        <w:shd w:val="clear" w:color="auto" w:fill="FFFFFF"/>
        <w:spacing w:line="600" w:lineRule="exact"/>
        <w:ind w:firstLineChars="200" w:firstLine="632"/>
        <w:textAlignment w:val="baseline"/>
      </w:pPr>
      <w:r>
        <w:rPr>
          <w:rFonts w:hint="eastAsia"/>
        </w:rPr>
        <w:t>调解组织根据实际需要，可以邀请与纠纷有一定关联的组织或</w:t>
      </w:r>
      <w:r>
        <w:rPr>
          <w:rFonts w:hint="eastAsia"/>
        </w:rPr>
        <w:t>者</w:t>
      </w:r>
      <w:r>
        <w:rPr>
          <w:rFonts w:hint="eastAsia"/>
        </w:rPr>
        <w:t>个人协助调解，也可以邀请人大代表、政协委员、法律专家、心理专家或者其他相关专业人员以及社区工作者、社会志愿者参与调解。</w:t>
      </w:r>
    </w:p>
    <w:p w:rsidR="007A39B7" w:rsidRDefault="0098536C">
      <w:pPr>
        <w:widowControl/>
        <w:shd w:val="clear" w:color="auto" w:fill="FFFFFF"/>
        <w:spacing w:line="600" w:lineRule="exact"/>
        <w:ind w:firstLineChars="200" w:firstLine="632"/>
        <w:textAlignment w:val="baseline"/>
      </w:pPr>
      <w:r>
        <w:rPr>
          <w:rFonts w:hint="eastAsia"/>
        </w:rPr>
        <w:t>经调解组织同意，当事人可以委托相关专业人员或</w:t>
      </w:r>
      <w:r>
        <w:rPr>
          <w:rFonts w:hint="eastAsia"/>
        </w:rPr>
        <w:t>者</w:t>
      </w:r>
      <w:r>
        <w:rPr>
          <w:rFonts w:hint="eastAsia"/>
        </w:rPr>
        <w:t>中立第三方进行审计、鉴定或者提供咨询、评估。审计、鉴定</w:t>
      </w:r>
      <w:r>
        <w:rPr>
          <w:rFonts w:hint="eastAsia"/>
        </w:rPr>
        <w:t>结果或者</w:t>
      </w:r>
      <w:r>
        <w:rPr>
          <w:rFonts w:hint="eastAsia"/>
        </w:rPr>
        <w:t>咨询、评估意见供调解参考。</w:t>
      </w:r>
    </w:p>
    <w:p w:rsidR="007A39B7" w:rsidRDefault="0098536C">
      <w:pPr>
        <w:widowControl/>
        <w:shd w:val="clear" w:color="auto" w:fill="FFFFFF"/>
        <w:spacing w:line="600" w:lineRule="exact"/>
        <w:ind w:firstLineChars="200" w:firstLine="632"/>
        <w:textAlignment w:val="baseline"/>
      </w:pPr>
      <w:r>
        <w:rPr>
          <w:rFonts w:ascii="黑体" w:eastAsia="黑体" w:hAnsi="黑体" w:hint="eastAsia"/>
        </w:rPr>
        <w:t>第十</w:t>
      </w:r>
      <w:r>
        <w:rPr>
          <w:rFonts w:ascii="黑体" w:eastAsia="黑体" w:hAnsi="黑体" w:hint="eastAsia"/>
        </w:rPr>
        <w:t>八</w:t>
      </w:r>
      <w:r>
        <w:rPr>
          <w:rFonts w:ascii="黑体" w:eastAsia="黑体" w:hAnsi="黑体" w:hint="eastAsia"/>
        </w:rPr>
        <w:t>条</w:t>
      </w:r>
      <w:r w:rsidR="00AE50C8">
        <w:rPr>
          <w:rFonts w:ascii="黑体" w:eastAsia="黑体" w:hAnsi="黑体" w:hint="eastAsia"/>
        </w:rPr>
        <w:t xml:space="preserve">  </w:t>
      </w:r>
      <w:r>
        <w:rPr>
          <w:rFonts w:hint="eastAsia"/>
        </w:rPr>
        <w:t>行政机关、仲裁机构应当依法作出行政裁决、行政复议决定、仲裁裁决，及时化解纠纷。</w:t>
      </w:r>
    </w:p>
    <w:p w:rsidR="007A39B7" w:rsidRDefault="0098536C">
      <w:pPr>
        <w:spacing w:line="600" w:lineRule="exact"/>
        <w:ind w:firstLineChars="200" w:firstLine="632"/>
      </w:pPr>
      <w:r>
        <w:rPr>
          <w:rFonts w:hint="eastAsia"/>
        </w:rPr>
        <w:t>在行政裁决、行政复议、仲裁过程中，可以先行调解或者依法应当先行调解的，应当先行调解；调解不成的，依法作出裁决或者决定。</w:t>
      </w:r>
    </w:p>
    <w:p w:rsidR="007A39B7" w:rsidRDefault="0098536C">
      <w:pPr>
        <w:spacing w:line="600" w:lineRule="exact"/>
        <w:ind w:firstLineChars="200" w:firstLine="632"/>
      </w:pPr>
      <w:r>
        <w:rPr>
          <w:rFonts w:ascii="黑体" w:eastAsia="黑体" w:hAnsi="黑体" w:hint="eastAsia"/>
        </w:rPr>
        <w:t>第</w:t>
      </w:r>
      <w:r>
        <w:rPr>
          <w:rFonts w:ascii="黑体" w:eastAsia="黑体" w:hAnsi="黑体" w:hint="eastAsia"/>
        </w:rPr>
        <w:t>十九</w:t>
      </w:r>
      <w:r>
        <w:rPr>
          <w:rFonts w:ascii="黑体" w:eastAsia="黑体" w:hAnsi="黑体" w:hint="eastAsia"/>
        </w:rPr>
        <w:t>条</w:t>
      </w:r>
      <w:r>
        <w:rPr>
          <w:rFonts w:ascii="黑体" w:eastAsia="黑体" w:hAnsi="黑体" w:hint="eastAsia"/>
        </w:rPr>
        <w:t xml:space="preserve"> </w:t>
      </w:r>
      <w:r w:rsidR="00AE50C8">
        <w:rPr>
          <w:rFonts w:ascii="黑体" w:eastAsia="黑体" w:hAnsi="黑体" w:hint="eastAsia"/>
        </w:rPr>
        <w:t xml:space="preserve"> </w:t>
      </w:r>
      <w:r>
        <w:rPr>
          <w:rFonts w:hint="eastAsia"/>
        </w:rPr>
        <w:t>人民法院对有可能调解解决的纠纷，可以在登记立案前引导当事人选择诉前调解，</w:t>
      </w:r>
      <w:r>
        <w:rPr>
          <w:rFonts w:hint="eastAsia"/>
        </w:rPr>
        <w:t>立案后</w:t>
      </w:r>
      <w:r>
        <w:rPr>
          <w:rFonts w:hint="eastAsia"/>
        </w:rPr>
        <w:t>适宜调解的案件，可以依法自行调解或者委托调解组织调解。当事人不愿意调解或者调解不成的，依法及时</w:t>
      </w:r>
      <w:r>
        <w:rPr>
          <w:rFonts w:hint="eastAsia"/>
        </w:rPr>
        <w:t>审理</w:t>
      </w:r>
      <w:r>
        <w:rPr>
          <w:rFonts w:hint="eastAsia"/>
        </w:rPr>
        <w:t>。</w:t>
      </w:r>
    </w:p>
    <w:p w:rsidR="007A39B7" w:rsidRDefault="0098536C">
      <w:pPr>
        <w:spacing w:line="600" w:lineRule="exact"/>
        <w:ind w:firstLineChars="200" w:firstLine="632"/>
      </w:pPr>
      <w:r>
        <w:rPr>
          <w:rFonts w:ascii="黑体" w:eastAsia="黑体" w:hAnsi="黑体" w:hint="eastAsia"/>
        </w:rPr>
        <w:t>第二十条</w:t>
      </w:r>
      <w:r>
        <w:rPr>
          <w:rFonts w:ascii="黑体" w:eastAsia="黑体" w:hAnsi="黑体" w:hint="eastAsia"/>
        </w:rPr>
        <w:t xml:space="preserve"> </w:t>
      </w:r>
      <w:r>
        <w:rPr>
          <w:rFonts w:hint="eastAsia"/>
        </w:rPr>
        <w:t xml:space="preserve"> </w:t>
      </w:r>
      <w:r>
        <w:rPr>
          <w:rFonts w:hint="eastAsia"/>
        </w:rPr>
        <w:t>人民检察院对符合和解法定条件的案件，可以</w:t>
      </w:r>
      <w:r>
        <w:rPr>
          <w:rFonts w:hint="eastAsia"/>
        </w:rPr>
        <w:t>按照有关法律</w:t>
      </w:r>
      <w:r>
        <w:rPr>
          <w:rFonts w:hint="eastAsia"/>
        </w:rPr>
        <w:t>规定，引导当事人达成和解或者申请</w:t>
      </w:r>
      <w:r>
        <w:rPr>
          <w:rFonts w:hint="eastAsia"/>
        </w:rPr>
        <w:t>调解</w:t>
      </w:r>
      <w:r>
        <w:rPr>
          <w:rFonts w:hint="eastAsia"/>
        </w:rPr>
        <w:t>，并协助开展</w:t>
      </w:r>
      <w:r>
        <w:rPr>
          <w:rFonts w:hint="eastAsia"/>
        </w:rPr>
        <w:t>调解工作，依法作出相应处理。</w:t>
      </w:r>
    </w:p>
    <w:p w:rsidR="007A39B7" w:rsidRDefault="0098536C">
      <w:pPr>
        <w:spacing w:line="600" w:lineRule="exact"/>
        <w:ind w:firstLineChars="200" w:firstLine="632"/>
      </w:pPr>
      <w:r>
        <w:rPr>
          <w:rFonts w:ascii="黑体" w:eastAsia="黑体" w:hAnsi="黑体" w:hint="eastAsia"/>
        </w:rPr>
        <w:lastRenderedPageBreak/>
        <w:t>第二十</w:t>
      </w:r>
      <w:r>
        <w:rPr>
          <w:rFonts w:ascii="黑体" w:eastAsia="黑体" w:hAnsi="黑体" w:hint="eastAsia"/>
        </w:rPr>
        <w:t>一</w:t>
      </w:r>
      <w:r>
        <w:rPr>
          <w:rFonts w:ascii="黑体" w:eastAsia="黑体" w:hAnsi="黑体" w:hint="eastAsia"/>
        </w:rPr>
        <w:t>条</w:t>
      </w:r>
      <w:r>
        <w:rPr>
          <w:rFonts w:hint="eastAsia"/>
        </w:rPr>
        <w:t xml:space="preserve"> </w:t>
      </w:r>
      <w:r w:rsidR="00AE50C8">
        <w:rPr>
          <w:rFonts w:hint="eastAsia"/>
        </w:rPr>
        <w:t xml:space="preserve"> </w:t>
      </w:r>
      <w:r>
        <w:rPr>
          <w:rFonts w:hint="eastAsia"/>
        </w:rPr>
        <w:t>行政机关、人民法院、人民检察院、仲裁机构和调解组织等应当在平安建设组织协调机构协调下建立纠纷化解联动机制，推动人民调解、行政调解、司法调解等协调联动，推动调解、仲裁、行政裁决、行政复议、诉讼等有机衔接，促进纠纷及时化解。</w:t>
      </w:r>
    </w:p>
    <w:p w:rsidR="007A39B7" w:rsidRDefault="007A39B7">
      <w:pPr>
        <w:spacing w:line="600" w:lineRule="exact"/>
        <w:ind w:firstLineChars="200" w:firstLine="632"/>
      </w:pPr>
    </w:p>
    <w:p w:rsidR="007A39B7" w:rsidRDefault="0098536C" w:rsidP="00AE50C8">
      <w:pPr>
        <w:spacing w:line="600" w:lineRule="exact"/>
        <w:ind w:firstLineChars="1000" w:firstLine="3159"/>
        <w:rPr>
          <w:rFonts w:ascii="黑体" w:eastAsia="黑体" w:hAnsi="黑体" w:cs="黑体"/>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保障措施</w:t>
      </w:r>
    </w:p>
    <w:p w:rsidR="007A39B7" w:rsidRDefault="007A39B7">
      <w:pPr>
        <w:spacing w:line="600" w:lineRule="exact"/>
        <w:ind w:firstLineChars="200" w:firstLine="632"/>
      </w:pPr>
    </w:p>
    <w:p w:rsidR="007A39B7" w:rsidRDefault="0098536C">
      <w:pPr>
        <w:spacing w:line="600" w:lineRule="exact"/>
        <w:ind w:firstLineChars="200" w:firstLine="632"/>
      </w:pPr>
      <w:r>
        <w:rPr>
          <w:rFonts w:ascii="黑体" w:eastAsia="黑体" w:hAnsi="黑体" w:hint="eastAsia"/>
        </w:rPr>
        <w:t>第二十</w:t>
      </w:r>
      <w:r>
        <w:rPr>
          <w:rFonts w:ascii="黑体" w:eastAsia="黑体" w:hAnsi="黑体" w:hint="eastAsia"/>
        </w:rPr>
        <w:t>二</w:t>
      </w:r>
      <w:r>
        <w:rPr>
          <w:rFonts w:ascii="黑体" w:eastAsia="黑体" w:hAnsi="黑体" w:hint="eastAsia"/>
        </w:rPr>
        <w:t>条</w:t>
      </w:r>
      <w:r>
        <w:rPr>
          <w:rFonts w:hint="eastAsia"/>
        </w:rPr>
        <w:t xml:space="preserve">  </w:t>
      </w:r>
      <w:r>
        <w:rPr>
          <w:rFonts w:hint="eastAsia"/>
        </w:rPr>
        <w:t>各级人民政府应当将财政预算管理单位</w:t>
      </w:r>
      <w:r>
        <w:rPr>
          <w:rFonts w:hint="eastAsia"/>
        </w:rPr>
        <w:t>的</w:t>
      </w:r>
      <w:r>
        <w:rPr>
          <w:rFonts w:hint="eastAsia"/>
        </w:rPr>
        <w:t>预防化解纠纷工作所需经费纳入本级财政预算</w:t>
      </w:r>
      <w:r>
        <w:rPr>
          <w:rFonts w:hint="eastAsia"/>
        </w:rPr>
        <w:t>予以保障</w:t>
      </w:r>
      <w:r>
        <w:rPr>
          <w:rFonts w:hint="eastAsia"/>
        </w:rPr>
        <w:t>。</w:t>
      </w:r>
    </w:p>
    <w:p w:rsidR="007A39B7" w:rsidRDefault="0098536C">
      <w:pPr>
        <w:spacing w:line="600" w:lineRule="exact"/>
        <w:ind w:firstLineChars="200" w:firstLine="632"/>
      </w:pPr>
      <w:r>
        <w:rPr>
          <w:rFonts w:hint="eastAsia"/>
        </w:rPr>
        <w:t>国家机关、人民团体、事业单位可以通过政府购买服务方式，</w:t>
      </w:r>
      <w:r>
        <w:rPr>
          <w:rFonts w:hint="eastAsia"/>
        </w:rPr>
        <w:t>按照规定</w:t>
      </w:r>
      <w:r>
        <w:rPr>
          <w:rFonts w:hint="eastAsia"/>
        </w:rPr>
        <w:t>委托社会力量</w:t>
      </w:r>
      <w:r>
        <w:rPr>
          <w:rFonts w:hint="eastAsia"/>
        </w:rPr>
        <w:t>提供预防化解纠纷服务</w:t>
      </w:r>
      <w:r>
        <w:rPr>
          <w:rFonts w:hint="eastAsia"/>
        </w:rPr>
        <w:t>，所需服务纳入本级本单位政府</w:t>
      </w:r>
      <w:r>
        <w:rPr>
          <w:rFonts w:hint="eastAsia"/>
        </w:rPr>
        <w:t>购买服务指导性目录。</w:t>
      </w:r>
    </w:p>
    <w:p w:rsidR="007A39B7" w:rsidRDefault="0098536C">
      <w:pPr>
        <w:spacing w:line="600" w:lineRule="exact"/>
        <w:ind w:firstLineChars="200" w:firstLine="632"/>
      </w:pPr>
      <w:r>
        <w:rPr>
          <w:rFonts w:hint="eastAsia"/>
        </w:rPr>
        <w:t>探索设立纠纷预防化解相关基金，鼓励自然人、法人和非法人组织为纠纷预防化解提供捐赠、资助。</w:t>
      </w:r>
    </w:p>
    <w:p w:rsidR="007A39B7" w:rsidRDefault="0098536C">
      <w:pPr>
        <w:spacing w:line="600" w:lineRule="exact"/>
        <w:ind w:firstLineChars="200" w:firstLine="632"/>
      </w:pPr>
      <w:r>
        <w:rPr>
          <w:rFonts w:ascii="黑体" w:eastAsia="黑体" w:hAnsi="黑体" w:hint="eastAsia"/>
        </w:rPr>
        <w:t>第二十</w:t>
      </w:r>
      <w:r>
        <w:rPr>
          <w:rFonts w:ascii="黑体" w:eastAsia="黑体" w:hAnsi="黑体" w:hint="eastAsia"/>
        </w:rPr>
        <w:t>三</w:t>
      </w:r>
      <w:r>
        <w:rPr>
          <w:rFonts w:ascii="黑体" w:eastAsia="黑体" w:hAnsi="黑体" w:hint="eastAsia"/>
        </w:rPr>
        <w:t>条</w:t>
      </w:r>
      <w:r>
        <w:rPr>
          <w:rFonts w:hint="eastAsia"/>
        </w:rPr>
        <w:t xml:space="preserve">  </w:t>
      </w:r>
      <w:r>
        <w:rPr>
          <w:rFonts w:hint="eastAsia"/>
        </w:rPr>
        <w:t>市、区（县）、镇（街道）、村（社区）应当建立完善社会风险防控平台，为预防化解纠纷提供服务保障和便利条件。人民法院、人民检察院、公安机关、司法行政部门应当向社会风险防控平台派驻专业人员或者设立调解工作室，协同开展纠纷预防化解工作，并纳入人民法院、人民检察院、公安机关、司法行政部门平安建设考核内容；驻村（社区）法律顾问应当每</w:t>
      </w:r>
      <w:r>
        <w:rPr>
          <w:rFonts w:hint="eastAsia"/>
        </w:rPr>
        <w:lastRenderedPageBreak/>
        <w:t>月安排时间入驻村（社区），为纠纷预防化解提供法律服务；律师协会应</w:t>
      </w:r>
      <w:r>
        <w:rPr>
          <w:rFonts w:hint="eastAsia"/>
        </w:rPr>
        <w:t>当加强对驻村（社区）法律顾问提供法律服务情况的指导和考核。</w:t>
      </w:r>
    </w:p>
    <w:p w:rsidR="007A39B7" w:rsidRDefault="0098536C">
      <w:pPr>
        <w:spacing w:line="600" w:lineRule="exact"/>
        <w:ind w:firstLineChars="200" w:firstLine="632"/>
      </w:pPr>
      <w:r>
        <w:rPr>
          <w:rFonts w:hint="eastAsia"/>
        </w:rPr>
        <w:t>人民法院应当在劳动争议、医疗卫生、物业管理、消费者权益保护、土地承包、生态环境以及其他纠纷多发领域，建立统一的纠纷化解服务平台。纠纷涉及的单位应当向该纠纷化解服务平台派驻调解人员，协同开展纠纷预防化解工作，并纳入纠纷涉及的单位平安建设考核内容。</w:t>
      </w:r>
    </w:p>
    <w:p w:rsidR="007A39B7" w:rsidRDefault="0098536C">
      <w:pPr>
        <w:spacing w:line="600" w:lineRule="exact"/>
        <w:ind w:firstLineChars="200" w:firstLine="632"/>
      </w:pPr>
      <w:r>
        <w:rPr>
          <w:rFonts w:hint="eastAsia"/>
        </w:rPr>
        <w:t>区（县）人大常委会、镇人大主席团以及区人大常委会街道工作委员会应当组织人大代表依托人大代表联络站听取公众意见，反映公众诉求，促进基层纠纷的预防与化解。</w:t>
      </w:r>
    </w:p>
    <w:p w:rsidR="007A39B7" w:rsidRDefault="0098536C">
      <w:pPr>
        <w:spacing w:line="600" w:lineRule="exact"/>
        <w:ind w:firstLineChars="200" w:firstLine="632"/>
      </w:pPr>
      <w:r>
        <w:rPr>
          <w:rFonts w:ascii="黑体" w:eastAsia="黑体" w:hAnsi="黑体" w:hint="eastAsia"/>
        </w:rPr>
        <w:t>第二十</w:t>
      </w:r>
      <w:r>
        <w:rPr>
          <w:rFonts w:ascii="黑体" w:eastAsia="黑体" w:hAnsi="黑体" w:hint="eastAsia"/>
        </w:rPr>
        <w:t>四</w:t>
      </w:r>
      <w:r>
        <w:rPr>
          <w:rFonts w:ascii="黑体" w:eastAsia="黑体" w:hAnsi="黑体" w:hint="eastAsia"/>
        </w:rPr>
        <w:t>条</w:t>
      </w:r>
      <w:r>
        <w:rPr>
          <w:rFonts w:hint="eastAsia"/>
        </w:rPr>
        <w:t xml:space="preserve">  </w:t>
      </w:r>
      <w:r>
        <w:rPr>
          <w:rFonts w:hint="eastAsia"/>
        </w:rPr>
        <w:t>行政机关、人民法院、人民检察院</w:t>
      </w:r>
      <w:r>
        <w:rPr>
          <w:rFonts w:hint="eastAsia"/>
        </w:rPr>
        <w:t>、仲裁机构</w:t>
      </w:r>
      <w:r>
        <w:rPr>
          <w:rFonts w:hint="eastAsia"/>
        </w:rPr>
        <w:t>应当加强信息化建设，推进大数据运用，完善信息共享平台，实现在线咨询、调解、裁决、复议、仲裁、审判、监督以及联网核查，提高纠纷预防化解工作效率。</w:t>
      </w:r>
    </w:p>
    <w:p w:rsidR="007A39B7" w:rsidRDefault="0098536C">
      <w:pPr>
        <w:spacing w:line="600" w:lineRule="exact"/>
        <w:ind w:firstLineChars="200" w:firstLine="632"/>
      </w:pPr>
      <w:r>
        <w:rPr>
          <w:rFonts w:ascii="黑体" w:eastAsia="黑体" w:hAnsi="黑体" w:hint="eastAsia"/>
        </w:rPr>
        <w:t>第二十</w:t>
      </w:r>
      <w:r>
        <w:rPr>
          <w:rFonts w:ascii="黑体" w:eastAsia="黑体" w:hAnsi="黑体" w:hint="eastAsia"/>
        </w:rPr>
        <w:t>五</w:t>
      </w:r>
      <w:r>
        <w:rPr>
          <w:rFonts w:ascii="黑体" w:eastAsia="黑体" w:hAnsi="黑体" w:hint="eastAsia"/>
        </w:rPr>
        <w:t>条</w:t>
      </w:r>
      <w:r>
        <w:rPr>
          <w:rFonts w:hint="eastAsia"/>
        </w:rPr>
        <w:t xml:space="preserve">  </w:t>
      </w:r>
      <w:r>
        <w:rPr>
          <w:rFonts w:hint="eastAsia"/>
        </w:rPr>
        <w:t>国家机关、人民团体和企业事业单位应当完善培训机制，定期组织培训，加强调解人员能力建设。</w:t>
      </w:r>
    </w:p>
    <w:p w:rsidR="007A39B7" w:rsidRDefault="0098536C">
      <w:pPr>
        <w:spacing w:line="600" w:lineRule="exact"/>
        <w:ind w:firstLineChars="200" w:firstLine="632"/>
      </w:pPr>
      <w:r>
        <w:rPr>
          <w:rFonts w:hint="eastAsia"/>
        </w:rPr>
        <w:t>支持高等院校或者职业技术学校开设预防化解纠纷培训课程，培养专业化、职业化的纠纷预防化解人才。</w:t>
      </w:r>
    </w:p>
    <w:p w:rsidR="007A39B7" w:rsidRDefault="0098536C">
      <w:pPr>
        <w:spacing w:line="600" w:lineRule="exact"/>
        <w:ind w:firstLineChars="200" w:firstLine="632"/>
      </w:pPr>
      <w:r>
        <w:rPr>
          <w:rFonts w:hint="eastAsia"/>
        </w:rPr>
        <w:t>鼓励社会力量开办培训机构，成立调解工作志愿者队伍，为预防化解纠纷提供人才储备。</w:t>
      </w:r>
    </w:p>
    <w:p w:rsidR="007A39B7" w:rsidRDefault="0098536C">
      <w:pPr>
        <w:spacing w:line="600" w:lineRule="exact"/>
        <w:ind w:firstLineChars="200" w:firstLine="632"/>
      </w:pPr>
      <w:r>
        <w:rPr>
          <w:rFonts w:ascii="黑体" w:eastAsia="黑体" w:hAnsi="黑体" w:hint="eastAsia"/>
        </w:rPr>
        <w:lastRenderedPageBreak/>
        <w:t>第二十</w:t>
      </w:r>
      <w:r>
        <w:rPr>
          <w:rFonts w:ascii="黑体" w:eastAsia="黑体" w:hAnsi="黑体" w:hint="eastAsia"/>
        </w:rPr>
        <w:t>六</w:t>
      </w:r>
      <w:r>
        <w:rPr>
          <w:rFonts w:ascii="黑体" w:eastAsia="黑体" w:hAnsi="黑体" w:hint="eastAsia"/>
        </w:rPr>
        <w:t>条</w:t>
      </w:r>
      <w:r>
        <w:rPr>
          <w:rFonts w:ascii="黑体" w:eastAsia="黑体" w:hAnsi="黑体" w:hint="eastAsia"/>
        </w:rPr>
        <w:t xml:space="preserve"> </w:t>
      </w:r>
      <w:r>
        <w:rPr>
          <w:rFonts w:hint="eastAsia"/>
        </w:rPr>
        <w:t xml:space="preserve"> </w:t>
      </w:r>
      <w:r>
        <w:rPr>
          <w:rFonts w:hint="eastAsia"/>
        </w:rPr>
        <w:t>市、区（县）、镇（街道）应当将纠纷预防化解机制</w:t>
      </w:r>
      <w:r>
        <w:rPr>
          <w:rFonts w:hint="eastAsia"/>
        </w:rPr>
        <w:t>建设和工作开展情况纳入</w:t>
      </w:r>
      <w:r>
        <w:rPr>
          <w:rFonts w:hint="eastAsia"/>
        </w:rPr>
        <w:t>平安建设绩</w:t>
      </w:r>
      <w:r>
        <w:rPr>
          <w:rFonts w:hint="eastAsia"/>
        </w:rPr>
        <w:t>效考核内容</w:t>
      </w:r>
      <w:r>
        <w:rPr>
          <w:rFonts w:hint="eastAsia"/>
        </w:rPr>
        <w:t>，</w:t>
      </w:r>
      <w:r>
        <w:rPr>
          <w:rFonts w:hint="eastAsia"/>
        </w:rPr>
        <w:t>予以考核评价。</w:t>
      </w:r>
    </w:p>
    <w:p w:rsidR="007A39B7" w:rsidRDefault="0098536C">
      <w:pPr>
        <w:spacing w:line="600" w:lineRule="exact"/>
        <w:ind w:firstLineChars="200" w:firstLine="632"/>
      </w:pPr>
      <w:r>
        <w:rPr>
          <w:rFonts w:hint="eastAsia"/>
        </w:rPr>
        <w:t>市、区（县）应当将预防化解纠纷工作纳入年度绩效考核指标体系，开展对相关各单位预防化解纠纷工作的年度考核。对未建立预防化解纠纷责任制的单位，应当在年度考核中予以扣分或者作出负面评价；对开展纠纷预防化解工作成绩突出的单位，应当在年度考核中予以加分或者给予表彰奖励。</w:t>
      </w:r>
    </w:p>
    <w:p w:rsidR="007A39B7" w:rsidRDefault="007A39B7">
      <w:pPr>
        <w:spacing w:line="600" w:lineRule="exact"/>
        <w:ind w:firstLineChars="200" w:firstLine="632"/>
      </w:pPr>
    </w:p>
    <w:p w:rsidR="007A39B7" w:rsidRDefault="0098536C">
      <w:pPr>
        <w:spacing w:line="600" w:lineRule="exact"/>
        <w:ind w:firstLineChars="200" w:firstLine="632"/>
        <w:jc w:val="center"/>
        <w:rPr>
          <w:rFonts w:ascii="黑体" w:eastAsia="黑体" w:hAnsi="黑体" w:cs="黑体"/>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法律责任</w:t>
      </w:r>
    </w:p>
    <w:p w:rsidR="007A39B7" w:rsidRDefault="007A39B7">
      <w:pPr>
        <w:spacing w:line="600" w:lineRule="exact"/>
        <w:ind w:firstLineChars="200" w:firstLine="632"/>
      </w:pPr>
    </w:p>
    <w:p w:rsidR="007A39B7" w:rsidRDefault="0098536C">
      <w:pPr>
        <w:spacing w:line="600" w:lineRule="exact"/>
        <w:ind w:firstLineChars="200" w:firstLine="632"/>
      </w:pPr>
      <w:r>
        <w:rPr>
          <w:rFonts w:ascii="黑体" w:eastAsia="黑体" w:hAnsi="黑体" w:hint="eastAsia"/>
        </w:rPr>
        <w:t>第</w:t>
      </w:r>
      <w:r>
        <w:rPr>
          <w:rFonts w:ascii="黑体" w:eastAsia="黑体" w:hAnsi="黑体" w:hint="eastAsia"/>
        </w:rPr>
        <w:t>二十七</w:t>
      </w:r>
      <w:r>
        <w:rPr>
          <w:rFonts w:ascii="黑体" w:eastAsia="黑体" w:hAnsi="黑体" w:hint="eastAsia"/>
        </w:rPr>
        <w:t>条</w:t>
      </w:r>
      <w:r>
        <w:rPr>
          <w:rFonts w:hint="eastAsia"/>
        </w:rPr>
        <w:t xml:space="preserve">  </w:t>
      </w:r>
      <w:r>
        <w:rPr>
          <w:rFonts w:hint="eastAsia"/>
        </w:rPr>
        <w:t>国家机关、人民团体、企业事业单位和其他社会组织有下列情形之一的，由其主管机关予以通报，责令限期改正；对拒不改正、情节严重或者造成严重后果的，由监察机关或者其他有权机关依法依规追究相应责任：</w:t>
      </w:r>
      <w:bookmarkStart w:id="3" w:name="tiao_60_kuan_1_xiang_1"/>
      <w:bookmarkEnd w:id="3"/>
    </w:p>
    <w:p w:rsidR="007A39B7" w:rsidRDefault="0098536C">
      <w:pPr>
        <w:spacing w:line="600" w:lineRule="exact"/>
        <w:ind w:firstLineChars="200" w:firstLine="632"/>
      </w:pPr>
      <w:r>
        <w:rPr>
          <w:rFonts w:hint="eastAsia"/>
        </w:rPr>
        <w:t>（一）未建立健全本单位预防化解纠纷工作责任制，未明确纠纷预防化解工作机构和责任人员的；</w:t>
      </w:r>
    </w:p>
    <w:p w:rsidR="007A39B7" w:rsidRDefault="0098536C">
      <w:pPr>
        <w:spacing w:line="600" w:lineRule="exact"/>
        <w:ind w:firstLineChars="200" w:firstLine="632"/>
      </w:pPr>
      <w:r>
        <w:rPr>
          <w:rFonts w:hint="eastAsia"/>
        </w:rPr>
        <w:t>（二）未完善</w:t>
      </w:r>
      <w:r>
        <w:rPr>
          <w:rFonts w:hint="eastAsia"/>
        </w:rPr>
        <w:t>、落实</w:t>
      </w:r>
      <w:r>
        <w:rPr>
          <w:rFonts w:hint="eastAsia"/>
        </w:rPr>
        <w:t>政府信息公开、听证、法律顾问制度，未落实重大行政决策必须履行公众参与、专家论证、风险评估、合法性审查、集体讨论决定的法定程序；未推行行政执法公示制度、执法全过程记录制度、重大执法决定法制审核制度的；</w:t>
      </w:r>
    </w:p>
    <w:p w:rsidR="007A39B7" w:rsidRDefault="0098536C">
      <w:pPr>
        <w:spacing w:line="600" w:lineRule="exact"/>
        <w:ind w:firstLineChars="200" w:firstLine="632"/>
      </w:pPr>
      <w:r>
        <w:rPr>
          <w:rFonts w:hint="eastAsia"/>
        </w:rPr>
        <w:lastRenderedPageBreak/>
        <w:t>（三）未完善</w:t>
      </w:r>
      <w:r>
        <w:rPr>
          <w:rFonts w:hint="eastAsia"/>
        </w:rPr>
        <w:t>、落实</w:t>
      </w:r>
      <w:r>
        <w:rPr>
          <w:rFonts w:hint="eastAsia"/>
        </w:rPr>
        <w:t>12345</w:t>
      </w:r>
      <w:r>
        <w:rPr>
          <w:rFonts w:hint="eastAsia"/>
        </w:rPr>
        <w:t>政务服务便民热线行政机关负责人现场接听制度、信访接待日制度和投诉举报制度的；</w:t>
      </w:r>
    </w:p>
    <w:p w:rsidR="007A39B7" w:rsidRDefault="0098536C">
      <w:pPr>
        <w:spacing w:line="600" w:lineRule="exact"/>
        <w:ind w:firstLineChars="200" w:firstLine="632"/>
      </w:pPr>
      <w:r>
        <w:rPr>
          <w:rFonts w:hint="eastAsia"/>
        </w:rPr>
        <w:t>（四）未</w:t>
      </w:r>
      <w:r>
        <w:rPr>
          <w:rFonts w:hint="eastAsia"/>
        </w:rPr>
        <w:t>按照要求</w:t>
      </w:r>
      <w:r>
        <w:rPr>
          <w:rFonts w:hint="eastAsia"/>
        </w:rPr>
        <w:t>对重大决策进行社会风险评估或者进行纠纷排查、预警的；</w:t>
      </w:r>
    </w:p>
    <w:p w:rsidR="007A39B7" w:rsidRDefault="0098536C">
      <w:pPr>
        <w:spacing w:line="600" w:lineRule="exact"/>
        <w:ind w:firstLineChars="200" w:firstLine="632"/>
      </w:pPr>
      <w:bookmarkStart w:id="4" w:name="tiao_60_kuan_1_xiang_2"/>
      <w:bookmarkEnd w:id="4"/>
      <w:r>
        <w:rPr>
          <w:rFonts w:hint="eastAsia"/>
        </w:rPr>
        <w:t>（五）负有纠纷化解职责，无正当理由，拒不受理纠纷化解申请的；</w:t>
      </w:r>
    </w:p>
    <w:p w:rsidR="007A39B7" w:rsidRDefault="0098536C">
      <w:pPr>
        <w:spacing w:line="600" w:lineRule="exact"/>
        <w:ind w:firstLineChars="200" w:firstLine="632"/>
      </w:pPr>
      <w:bookmarkStart w:id="5" w:name="tiao_60_kuan_1_xiang_3"/>
      <w:bookmarkEnd w:id="5"/>
      <w:r>
        <w:rPr>
          <w:rFonts w:hint="eastAsia"/>
        </w:rPr>
        <w:t>（六）未依照职责和程序及时预防化解纠纷的；</w:t>
      </w:r>
    </w:p>
    <w:p w:rsidR="007A39B7" w:rsidRDefault="0098536C">
      <w:pPr>
        <w:spacing w:line="600" w:lineRule="exact"/>
        <w:ind w:firstLineChars="200" w:firstLine="632"/>
      </w:pPr>
      <w:bookmarkStart w:id="6" w:name="tiao_60_kuan_1_xiang_4"/>
      <w:bookmarkEnd w:id="6"/>
      <w:r>
        <w:rPr>
          <w:rFonts w:hint="eastAsia"/>
        </w:rPr>
        <w:t>（七）未履行本条例规定的其他职责的。</w:t>
      </w:r>
    </w:p>
    <w:p w:rsidR="007A39B7" w:rsidRDefault="0098536C">
      <w:pPr>
        <w:spacing w:line="600" w:lineRule="exact"/>
        <w:ind w:firstLineChars="200" w:firstLine="632"/>
      </w:pPr>
      <w:r>
        <w:rPr>
          <w:rFonts w:ascii="黑体" w:eastAsia="黑体" w:hAnsi="黑体" w:hint="eastAsia"/>
        </w:rPr>
        <w:t>第</w:t>
      </w:r>
      <w:r>
        <w:rPr>
          <w:rFonts w:ascii="黑体" w:eastAsia="黑体" w:hAnsi="黑体" w:hint="eastAsia"/>
        </w:rPr>
        <w:t>二十八</w:t>
      </w:r>
      <w:r>
        <w:rPr>
          <w:rFonts w:ascii="黑体" w:eastAsia="黑体" w:hAnsi="黑体" w:hint="eastAsia"/>
        </w:rPr>
        <w:t>条</w:t>
      </w:r>
      <w:r>
        <w:rPr>
          <w:rFonts w:hint="eastAsia"/>
        </w:rPr>
        <w:t xml:space="preserve"> </w:t>
      </w:r>
      <w:r w:rsidR="00AE50C8">
        <w:rPr>
          <w:rFonts w:hint="eastAsia"/>
        </w:rPr>
        <w:t xml:space="preserve"> </w:t>
      </w:r>
      <w:r>
        <w:rPr>
          <w:rFonts w:hint="eastAsia"/>
        </w:rPr>
        <w:t>调解人员在调解工作中有下列</w:t>
      </w:r>
      <w:r>
        <w:rPr>
          <w:rFonts w:hint="eastAsia"/>
        </w:rPr>
        <w:t>情形</w:t>
      </w:r>
      <w:r>
        <w:rPr>
          <w:rFonts w:hint="eastAsia"/>
        </w:rPr>
        <w:t>之一的，由其主管部门或者所在的调解组织给予批评教育、责令改正；情节严重的，由推选或者聘任单位予以免职或者解聘；造成严重后果的，依法追究其法律责任</w:t>
      </w:r>
      <w:r>
        <w:rPr>
          <w:rFonts w:hint="eastAsia"/>
        </w:rPr>
        <w:t>:</w:t>
      </w:r>
    </w:p>
    <w:p w:rsidR="007A39B7" w:rsidRDefault="0098536C">
      <w:pPr>
        <w:spacing w:line="600" w:lineRule="exact"/>
        <w:ind w:firstLineChars="200" w:firstLine="632"/>
      </w:pPr>
      <w:r>
        <w:rPr>
          <w:rFonts w:hint="eastAsia"/>
        </w:rPr>
        <w:t>（一）偏袒一方当事人或者侮辱、恐吓当事人的；</w:t>
      </w:r>
    </w:p>
    <w:p w:rsidR="007A39B7" w:rsidRDefault="0098536C">
      <w:pPr>
        <w:spacing w:line="600" w:lineRule="exact"/>
        <w:ind w:firstLineChars="200" w:firstLine="632"/>
      </w:pPr>
      <w:r>
        <w:rPr>
          <w:rFonts w:hint="eastAsia"/>
        </w:rPr>
        <w:t>（二）收受、索取当事人财物或者牟取其他不正当利益的</w:t>
      </w:r>
      <w:r>
        <w:rPr>
          <w:rFonts w:hint="eastAsia"/>
        </w:rPr>
        <w:t>;</w:t>
      </w:r>
    </w:p>
    <w:p w:rsidR="007A39B7" w:rsidRDefault="0098536C">
      <w:pPr>
        <w:spacing w:line="600" w:lineRule="exact"/>
        <w:ind w:firstLineChars="200" w:firstLine="632"/>
      </w:pPr>
      <w:r>
        <w:rPr>
          <w:rFonts w:hint="eastAsia"/>
        </w:rPr>
        <w:t>（三）泄露国家秘密、商业秘密和当事人个人隐私的</w:t>
      </w:r>
      <w:r>
        <w:rPr>
          <w:rFonts w:hint="eastAsia"/>
        </w:rPr>
        <w:t>;</w:t>
      </w:r>
    </w:p>
    <w:p w:rsidR="007A39B7" w:rsidRDefault="0098536C">
      <w:pPr>
        <w:spacing w:line="600" w:lineRule="exact"/>
        <w:ind w:firstLineChars="200" w:firstLine="632"/>
      </w:pPr>
      <w:r>
        <w:rPr>
          <w:rFonts w:hint="eastAsia"/>
        </w:rPr>
        <w:t>（四）依法应当回避而未回避的</w:t>
      </w:r>
      <w:r>
        <w:rPr>
          <w:rFonts w:hint="eastAsia"/>
        </w:rPr>
        <w:t>;</w:t>
      </w:r>
    </w:p>
    <w:p w:rsidR="007A39B7" w:rsidRDefault="0098536C">
      <w:pPr>
        <w:spacing w:line="600" w:lineRule="exact"/>
        <w:ind w:firstLineChars="200" w:firstLine="632"/>
      </w:pPr>
      <w:r>
        <w:rPr>
          <w:rFonts w:hint="eastAsia"/>
        </w:rPr>
        <w:t>（五）属于调解范围，无正当理由拒不调解的</w:t>
      </w:r>
      <w:r>
        <w:rPr>
          <w:rFonts w:hint="eastAsia"/>
        </w:rPr>
        <w:t>;</w:t>
      </w:r>
    </w:p>
    <w:p w:rsidR="007A39B7" w:rsidRDefault="0098536C">
      <w:pPr>
        <w:spacing w:line="600" w:lineRule="exact"/>
        <w:ind w:firstLineChars="200" w:firstLine="632"/>
      </w:pPr>
      <w:r>
        <w:rPr>
          <w:rFonts w:hint="eastAsia"/>
        </w:rPr>
        <w:t>（六）其他违反法律</w:t>
      </w:r>
      <w:r>
        <w:rPr>
          <w:rFonts w:hint="eastAsia"/>
        </w:rPr>
        <w:t>法规</w:t>
      </w:r>
      <w:r>
        <w:rPr>
          <w:rFonts w:hint="eastAsia"/>
        </w:rPr>
        <w:t>规定的。</w:t>
      </w:r>
    </w:p>
    <w:p w:rsidR="007A39B7" w:rsidRDefault="0098536C">
      <w:pPr>
        <w:spacing w:line="600" w:lineRule="exact"/>
        <w:ind w:firstLineChars="200" w:firstLine="632"/>
      </w:pPr>
      <w:r>
        <w:rPr>
          <w:rFonts w:ascii="黑体" w:eastAsia="黑体" w:hAnsi="黑体" w:hint="eastAsia"/>
        </w:rPr>
        <w:t>第</w:t>
      </w:r>
      <w:r>
        <w:rPr>
          <w:rFonts w:ascii="黑体" w:eastAsia="黑体" w:hAnsi="黑体" w:hint="eastAsia"/>
        </w:rPr>
        <w:t>二十九</w:t>
      </w:r>
      <w:r>
        <w:rPr>
          <w:rFonts w:ascii="黑体" w:eastAsia="黑体" w:hAnsi="黑体" w:hint="eastAsia"/>
        </w:rPr>
        <w:t>条</w:t>
      </w:r>
      <w:r>
        <w:rPr>
          <w:rFonts w:hint="eastAsia"/>
        </w:rPr>
        <w:t xml:space="preserve">  </w:t>
      </w:r>
      <w:r>
        <w:rPr>
          <w:rFonts w:hint="eastAsia"/>
        </w:rPr>
        <w:t>当事人有下列情形之一的，纠纷化解工作人员可以终止纠纷化解工作；当事人行为违反《中华人民共和国治安管理处罚法》的，由公安机关依法予以处罚；构成犯罪的，依法</w:t>
      </w:r>
      <w:r>
        <w:rPr>
          <w:rFonts w:hint="eastAsia"/>
        </w:rPr>
        <w:lastRenderedPageBreak/>
        <w:t>追究刑事责任：</w:t>
      </w:r>
    </w:p>
    <w:p w:rsidR="007A39B7" w:rsidRDefault="0098536C">
      <w:pPr>
        <w:spacing w:line="600" w:lineRule="exact"/>
        <w:ind w:firstLineChars="200" w:firstLine="632"/>
      </w:pPr>
      <w:r>
        <w:rPr>
          <w:rFonts w:hint="eastAsia"/>
        </w:rPr>
        <w:t>（一）扰乱工作秩序，威胁、侮辱、殴打纠纷化解工作人员和相关人员的；</w:t>
      </w:r>
    </w:p>
    <w:p w:rsidR="007A39B7" w:rsidRDefault="0098536C">
      <w:pPr>
        <w:spacing w:line="600" w:lineRule="exact"/>
        <w:ind w:firstLineChars="200" w:firstLine="632"/>
      </w:pPr>
      <w:r>
        <w:rPr>
          <w:rFonts w:hint="eastAsia"/>
        </w:rPr>
        <w:t>（二</w:t>
      </w:r>
      <w:r>
        <w:rPr>
          <w:rFonts w:hint="eastAsia"/>
        </w:rPr>
        <w:t>）隐瞒重要事实、提供虚假情况的；</w:t>
      </w:r>
    </w:p>
    <w:p w:rsidR="007A39B7" w:rsidRDefault="0098536C">
      <w:pPr>
        <w:spacing w:line="600" w:lineRule="exact"/>
        <w:ind w:firstLineChars="200" w:firstLine="632"/>
      </w:pPr>
      <w:r>
        <w:rPr>
          <w:rFonts w:hint="eastAsia"/>
        </w:rPr>
        <w:t>（三）恶意串通，损害国家利益、社会公共利益以及他人合法权益的</w:t>
      </w:r>
      <w:r>
        <w:rPr>
          <w:rFonts w:hint="eastAsia"/>
        </w:rPr>
        <w:t>。</w:t>
      </w:r>
    </w:p>
    <w:p w:rsidR="007A39B7" w:rsidRDefault="0098536C">
      <w:pPr>
        <w:spacing w:line="600" w:lineRule="exact"/>
        <w:ind w:firstLineChars="200" w:firstLine="632"/>
      </w:pPr>
      <w:r>
        <w:rPr>
          <w:rFonts w:hint="eastAsia"/>
        </w:rPr>
        <w:t>当事人存在前款规定的行为给对方当事人或者案外人造成损失的，应当承担相应的法律责任。</w:t>
      </w:r>
    </w:p>
    <w:p w:rsidR="007A39B7" w:rsidRDefault="007A39B7">
      <w:pPr>
        <w:spacing w:line="600" w:lineRule="exact"/>
        <w:rPr>
          <w:rFonts w:ascii="黑体" w:eastAsia="黑体" w:hAnsi="仿宋"/>
          <w:i/>
          <w:iCs/>
          <w:u w:val="single"/>
        </w:rPr>
      </w:pPr>
    </w:p>
    <w:p w:rsidR="007A39B7" w:rsidRDefault="0098536C">
      <w:pPr>
        <w:spacing w:line="600" w:lineRule="exact"/>
        <w:jc w:val="center"/>
        <w:rPr>
          <w:rFonts w:ascii="黑体" w:eastAsia="黑体" w:hAnsi="黑体"/>
        </w:rPr>
      </w:pPr>
      <w:r>
        <w:rPr>
          <w:rFonts w:ascii="黑体" w:eastAsia="黑体" w:hAnsi="黑体" w:hint="eastAsia"/>
        </w:rPr>
        <w:t>第六章</w:t>
      </w:r>
      <w:r>
        <w:rPr>
          <w:rFonts w:ascii="黑体" w:eastAsia="黑体" w:hAnsi="黑体" w:hint="eastAsia"/>
        </w:rPr>
        <w:t xml:space="preserve">  </w:t>
      </w:r>
      <w:r>
        <w:rPr>
          <w:rFonts w:ascii="黑体" w:eastAsia="黑体" w:hAnsi="黑体" w:hint="eastAsia"/>
        </w:rPr>
        <w:t>附则</w:t>
      </w:r>
    </w:p>
    <w:p w:rsidR="007A39B7" w:rsidRDefault="007A39B7">
      <w:pPr>
        <w:spacing w:line="600" w:lineRule="exact"/>
        <w:jc w:val="center"/>
        <w:rPr>
          <w:rFonts w:ascii="黑体" w:eastAsia="黑体" w:hAnsi="黑体"/>
          <w:i/>
          <w:iCs/>
          <w:u w:val="single"/>
        </w:rPr>
      </w:pPr>
    </w:p>
    <w:p w:rsidR="007A39B7" w:rsidRDefault="0098536C">
      <w:pPr>
        <w:spacing w:line="600" w:lineRule="exact"/>
        <w:ind w:firstLineChars="200" w:firstLine="632"/>
      </w:pPr>
      <w:r>
        <w:rPr>
          <w:rFonts w:ascii="黑体" w:eastAsia="黑体" w:hAnsi="黑体" w:hint="eastAsia"/>
        </w:rPr>
        <w:t>第三十条</w:t>
      </w:r>
      <w:r>
        <w:rPr>
          <w:rFonts w:ascii="黑体" w:eastAsia="黑体" w:hAnsi="黑体" w:hint="eastAsia"/>
        </w:rPr>
        <w:t xml:space="preserve"> </w:t>
      </w:r>
      <w:r>
        <w:rPr>
          <w:rFonts w:ascii="仿宋_GB2312" w:hAnsi="仿宋" w:hint="eastAsia"/>
        </w:rPr>
        <w:t xml:space="preserve"> </w:t>
      </w:r>
      <w:r>
        <w:rPr>
          <w:rFonts w:ascii="仿宋_GB2312" w:hAnsi="仿宋" w:hint="eastAsia"/>
        </w:rPr>
        <w:t>本条例自</w:t>
      </w:r>
      <w:r>
        <w:t>2022</w:t>
      </w:r>
      <w:r>
        <w:t>年</w:t>
      </w:r>
      <w:r>
        <w:t>1</w:t>
      </w:r>
      <w:r>
        <w:t>月</w:t>
      </w:r>
      <w:r>
        <w:t>1</w:t>
      </w:r>
      <w:r>
        <w:rPr>
          <w:rFonts w:ascii="仿宋_GB2312" w:hAnsi="仿宋" w:hint="eastAsia"/>
        </w:rPr>
        <w:t>日起施行。</w:t>
      </w:r>
    </w:p>
    <w:p w:rsidR="007A39B7" w:rsidRDefault="007A39B7">
      <w:pPr>
        <w:spacing w:line="560" w:lineRule="exact"/>
        <w:ind w:firstLineChars="200" w:firstLine="632"/>
      </w:pPr>
    </w:p>
    <w:sectPr w:rsidR="007A39B7" w:rsidSect="007A39B7">
      <w:footerReference w:type="even" r:id="rId7"/>
      <w:footerReference w:type="default" r:id="rId8"/>
      <w:pgSz w:w="11907" w:h="16840"/>
      <w:pgMar w:top="2041" w:right="1531" w:bottom="2041" w:left="1531" w:header="851" w:footer="1588" w:gutter="0"/>
      <w:pgNumType w:fmt="numberInDash"/>
      <w:cols w:space="720"/>
      <w:docGrid w:type="linesAndChars" w:linePitch="59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36C" w:rsidRDefault="0098536C" w:rsidP="007A39B7">
      <w:r>
        <w:separator/>
      </w:r>
    </w:p>
  </w:endnote>
  <w:endnote w:type="continuationSeparator" w:id="1">
    <w:p w:rsidR="0098536C" w:rsidRDefault="0098536C" w:rsidP="007A39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altName w:val="DejaVu Sans"/>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仿宋">
    <w:altName w:val="方正仿宋_GBK"/>
    <w:panose1 w:val="02010609060101010101"/>
    <w:charset w:val="00"/>
    <w:family w:val="auto"/>
    <w:pitch w:val="default"/>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B7" w:rsidRDefault="007A39B7">
    <w:pPr>
      <w:pStyle w:val="aa"/>
      <w:framePr w:wrap="around" w:vAnchor="text" w:hAnchor="margin" w:xAlign="outside" w:y="1"/>
      <w:rPr>
        <w:rStyle w:val="af"/>
      </w:rPr>
    </w:pPr>
    <w:r>
      <w:fldChar w:fldCharType="begin"/>
    </w:r>
    <w:r w:rsidR="0098536C">
      <w:rPr>
        <w:rStyle w:val="af"/>
      </w:rPr>
      <w:instrText xml:space="preserve">PAGE  </w:instrText>
    </w:r>
    <w:r>
      <w:fldChar w:fldCharType="end"/>
    </w:r>
  </w:p>
  <w:p w:rsidR="007A39B7" w:rsidRDefault="007A39B7">
    <w:pPr>
      <w:pStyle w:val="a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B7" w:rsidRDefault="007A39B7">
    <w:pPr>
      <w:pStyle w:val="aa"/>
      <w:ind w:right="360" w:firstLine="360"/>
    </w:pPr>
    <w:r>
      <w:pict>
        <v:shapetype id="_x0000_t202" coordsize="21600,21600" o:spt="202" path="m,l,21600r21600,l21600,xe">
          <v:stroke joinstyle="miter"/>
          <v:path gradientshapeok="t" o:connecttype="rect"/>
        </v:shapetype>
        <v:shape id="_x0000_s1026" type="#_x0000_t202" style="position:absolute;left:0;text-align:left;margin-left:104pt;margin-top:0;width:2in;height:2in;z-index:1;mso-wrap-style:none;mso-position-horizontal:outside;mso-position-horizontal-relative:margin"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BCr8CPHAQAAewMAAA4AAAAAAAAA&#10;AQAgAAAANAEAAGRycy9lMm9Eb2MueG1sUEsFBgAAAAAGAAYAWQEAAG0FAAAAAA==&#10;" filled="f" stroked="f">
          <v:textbox style="mso-fit-shape-to-text:t" inset="0,0,0,0">
            <w:txbxContent>
              <w:p w:rsidR="007A39B7" w:rsidRDefault="007A39B7">
                <w:pPr>
                  <w:pStyle w:val="aa"/>
                  <w:rPr>
                    <w:rFonts w:ascii="宋体" w:eastAsia="宋体" w:hAnsi="宋体" w:cs="宋体"/>
                    <w:sz w:val="28"/>
                    <w:szCs w:val="28"/>
                  </w:rPr>
                </w:pPr>
                <w:r>
                  <w:rPr>
                    <w:rFonts w:ascii="宋体" w:eastAsia="宋体" w:hAnsi="宋体" w:cs="宋体" w:hint="eastAsia"/>
                    <w:sz w:val="28"/>
                    <w:szCs w:val="28"/>
                  </w:rPr>
                  <w:fldChar w:fldCharType="begin"/>
                </w:r>
                <w:r w:rsidR="0098536C">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AE50C8">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36C" w:rsidRDefault="0098536C" w:rsidP="007A39B7">
      <w:r>
        <w:separator/>
      </w:r>
    </w:p>
  </w:footnote>
  <w:footnote w:type="continuationSeparator" w:id="1">
    <w:p w:rsidR="0098536C" w:rsidRDefault="0098536C" w:rsidP="007A39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420"/>
  <w:drawingGridHorizontalSpacing w:val="158"/>
  <w:drawingGridVerticalSpacing w:val="295"/>
  <w:noPunctuationKerning/>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E4861"/>
    <w:rsid w:val="8FFABA91"/>
    <w:rsid w:val="94FE05BC"/>
    <w:rsid w:val="99DE1C41"/>
    <w:rsid w:val="9AFEDDD5"/>
    <w:rsid w:val="9DBF11C1"/>
    <w:rsid w:val="A77BBCE2"/>
    <w:rsid w:val="A7DDF70F"/>
    <w:rsid w:val="A9FA95FD"/>
    <w:rsid w:val="AB5E115E"/>
    <w:rsid w:val="ABE3CC50"/>
    <w:rsid w:val="AF5627C0"/>
    <w:rsid w:val="AFCA13E2"/>
    <w:rsid w:val="AFEF569C"/>
    <w:rsid w:val="AFEFE6D8"/>
    <w:rsid w:val="B37DEBA9"/>
    <w:rsid w:val="B6CFE98D"/>
    <w:rsid w:val="B6DC0703"/>
    <w:rsid w:val="B75EB119"/>
    <w:rsid w:val="B9FB587C"/>
    <w:rsid w:val="B9FFC819"/>
    <w:rsid w:val="BA79D29E"/>
    <w:rsid w:val="BA7D2D53"/>
    <w:rsid w:val="BAF8B205"/>
    <w:rsid w:val="BAFB2735"/>
    <w:rsid w:val="BB5D3201"/>
    <w:rsid w:val="BBDEDE30"/>
    <w:rsid w:val="BD6D58C6"/>
    <w:rsid w:val="BDF71F8C"/>
    <w:rsid w:val="BDFE2F54"/>
    <w:rsid w:val="BDFFE2AC"/>
    <w:rsid w:val="BEF66E90"/>
    <w:rsid w:val="BEF7AB54"/>
    <w:rsid w:val="BEFBDA11"/>
    <w:rsid w:val="BF58DB5C"/>
    <w:rsid w:val="BF7F2F82"/>
    <w:rsid w:val="BF97B76E"/>
    <w:rsid w:val="BFDFDC63"/>
    <w:rsid w:val="BFE36364"/>
    <w:rsid w:val="BFEEF915"/>
    <w:rsid w:val="BFF96E7F"/>
    <w:rsid w:val="BFFF8C70"/>
    <w:rsid w:val="C7FFD4D4"/>
    <w:rsid w:val="CBBFD6BC"/>
    <w:rsid w:val="CEE32EA5"/>
    <w:rsid w:val="CF6EC3EF"/>
    <w:rsid w:val="D37DA007"/>
    <w:rsid w:val="D3BE5CBC"/>
    <w:rsid w:val="D55920F8"/>
    <w:rsid w:val="D57B9297"/>
    <w:rsid w:val="D7A7415B"/>
    <w:rsid w:val="D838DAB0"/>
    <w:rsid w:val="DBFFC802"/>
    <w:rsid w:val="DD659A1B"/>
    <w:rsid w:val="DEBD7FCA"/>
    <w:rsid w:val="DEEEE21F"/>
    <w:rsid w:val="DF7B8577"/>
    <w:rsid w:val="DFBF320A"/>
    <w:rsid w:val="DFEEAFE3"/>
    <w:rsid w:val="DFFF5616"/>
    <w:rsid w:val="E0771D0C"/>
    <w:rsid w:val="E614EF91"/>
    <w:rsid w:val="E6FE92BC"/>
    <w:rsid w:val="E7C7164B"/>
    <w:rsid w:val="EA6091F0"/>
    <w:rsid w:val="EB35277C"/>
    <w:rsid w:val="EB769E97"/>
    <w:rsid w:val="EBEF3FFB"/>
    <w:rsid w:val="EBFF32DD"/>
    <w:rsid w:val="EC7B7ADB"/>
    <w:rsid w:val="EEB34770"/>
    <w:rsid w:val="EEF91984"/>
    <w:rsid w:val="EF3B23CF"/>
    <w:rsid w:val="EF468332"/>
    <w:rsid w:val="EF6335ED"/>
    <w:rsid w:val="EF7FCC62"/>
    <w:rsid w:val="EFBAC4BB"/>
    <w:rsid w:val="EFBEDF32"/>
    <w:rsid w:val="EFFB2117"/>
    <w:rsid w:val="EFFB7724"/>
    <w:rsid w:val="EFFE6A39"/>
    <w:rsid w:val="EFFFF6B2"/>
    <w:rsid w:val="F27E37F5"/>
    <w:rsid w:val="F2DF3A33"/>
    <w:rsid w:val="F37E0FC5"/>
    <w:rsid w:val="F3BD49A0"/>
    <w:rsid w:val="F3E79DCE"/>
    <w:rsid w:val="F3FFC750"/>
    <w:rsid w:val="F5B30B60"/>
    <w:rsid w:val="F5FFB199"/>
    <w:rsid w:val="F67101E0"/>
    <w:rsid w:val="F6B568B1"/>
    <w:rsid w:val="F77B5E16"/>
    <w:rsid w:val="F77E5F28"/>
    <w:rsid w:val="F7CAE509"/>
    <w:rsid w:val="F7DF8D1F"/>
    <w:rsid w:val="F7EDD380"/>
    <w:rsid w:val="F7FED337"/>
    <w:rsid w:val="F95DFDA0"/>
    <w:rsid w:val="F9CF8496"/>
    <w:rsid w:val="F9FB98BC"/>
    <w:rsid w:val="F9FC50D9"/>
    <w:rsid w:val="FB5F3AE3"/>
    <w:rsid w:val="FB5F7342"/>
    <w:rsid w:val="FBCFA280"/>
    <w:rsid w:val="FBDFEFFC"/>
    <w:rsid w:val="FBFDB0A3"/>
    <w:rsid w:val="FBFEF5AF"/>
    <w:rsid w:val="FC85A2DE"/>
    <w:rsid w:val="FCDB1949"/>
    <w:rsid w:val="FCDF72E9"/>
    <w:rsid w:val="FCF9CB9C"/>
    <w:rsid w:val="FCFBD988"/>
    <w:rsid w:val="FD263C11"/>
    <w:rsid w:val="FDE31EAC"/>
    <w:rsid w:val="FE9A2494"/>
    <w:rsid w:val="FEB182C2"/>
    <w:rsid w:val="FEBDF4AE"/>
    <w:rsid w:val="FEDF1FA4"/>
    <w:rsid w:val="FF320459"/>
    <w:rsid w:val="FF3FCDE0"/>
    <w:rsid w:val="FF4D8788"/>
    <w:rsid w:val="FF6E7992"/>
    <w:rsid w:val="FF6EC4B2"/>
    <w:rsid w:val="FF7BA0B4"/>
    <w:rsid w:val="FFBB666C"/>
    <w:rsid w:val="FFBF9A81"/>
    <w:rsid w:val="FFBFC2D1"/>
    <w:rsid w:val="FFCFF415"/>
    <w:rsid w:val="FFD7E7B1"/>
    <w:rsid w:val="FFDB295E"/>
    <w:rsid w:val="FFEB63C1"/>
    <w:rsid w:val="FFEBAAE5"/>
    <w:rsid w:val="FFEF071A"/>
    <w:rsid w:val="FFFF2C99"/>
    <w:rsid w:val="FFFF9D6E"/>
    <w:rsid w:val="00004CB9"/>
    <w:rsid w:val="00011460"/>
    <w:rsid w:val="0001296E"/>
    <w:rsid w:val="00015DB4"/>
    <w:rsid w:val="00043211"/>
    <w:rsid w:val="00043D1D"/>
    <w:rsid w:val="00052688"/>
    <w:rsid w:val="00055649"/>
    <w:rsid w:val="000752C1"/>
    <w:rsid w:val="00081FD5"/>
    <w:rsid w:val="0008463E"/>
    <w:rsid w:val="00085C04"/>
    <w:rsid w:val="000A5521"/>
    <w:rsid w:val="000A6B8B"/>
    <w:rsid w:val="000A75CA"/>
    <w:rsid w:val="000B7480"/>
    <w:rsid w:val="000C149D"/>
    <w:rsid w:val="000D0E5C"/>
    <w:rsid w:val="000D51AC"/>
    <w:rsid w:val="000D6CF5"/>
    <w:rsid w:val="000E3DC2"/>
    <w:rsid w:val="000F28CC"/>
    <w:rsid w:val="00117092"/>
    <w:rsid w:val="001233C9"/>
    <w:rsid w:val="001263F2"/>
    <w:rsid w:val="00127938"/>
    <w:rsid w:val="00130ED7"/>
    <w:rsid w:val="00134BE6"/>
    <w:rsid w:val="001354E0"/>
    <w:rsid w:val="00152B1A"/>
    <w:rsid w:val="00156230"/>
    <w:rsid w:val="001609CC"/>
    <w:rsid w:val="001739C0"/>
    <w:rsid w:val="0017770B"/>
    <w:rsid w:val="00183482"/>
    <w:rsid w:val="001934A1"/>
    <w:rsid w:val="001E0300"/>
    <w:rsid w:val="001E5D93"/>
    <w:rsid w:val="002033F2"/>
    <w:rsid w:val="00203AC6"/>
    <w:rsid w:val="0020427D"/>
    <w:rsid w:val="00225ADB"/>
    <w:rsid w:val="0023105A"/>
    <w:rsid w:val="00231803"/>
    <w:rsid w:val="002522D7"/>
    <w:rsid w:val="00277E9D"/>
    <w:rsid w:val="002950FE"/>
    <w:rsid w:val="002953F5"/>
    <w:rsid w:val="002962B8"/>
    <w:rsid w:val="002A1ECE"/>
    <w:rsid w:val="002A6048"/>
    <w:rsid w:val="002A630A"/>
    <w:rsid w:val="002A78F6"/>
    <w:rsid w:val="002B1CC8"/>
    <w:rsid w:val="002B54A8"/>
    <w:rsid w:val="002E6026"/>
    <w:rsid w:val="002E786D"/>
    <w:rsid w:val="00307E2C"/>
    <w:rsid w:val="00313CCB"/>
    <w:rsid w:val="0031523B"/>
    <w:rsid w:val="00336504"/>
    <w:rsid w:val="00345688"/>
    <w:rsid w:val="0034744D"/>
    <w:rsid w:val="00355B7C"/>
    <w:rsid w:val="00360205"/>
    <w:rsid w:val="0037091C"/>
    <w:rsid w:val="0038572D"/>
    <w:rsid w:val="003A4B11"/>
    <w:rsid w:val="003B7D9E"/>
    <w:rsid w:val="003C4E0F"/>
    <w:rsid w:val="003C7F1C"/>
    <w:rsid w:val="003E0D26"/>
    <w:rsid w:val="003E2EF4"/>
    <w:rsid w:val="003E71A1"/>
    <w:rsid w:val="00400AE0"/>
    <w:rsid w:val="00403675"/>
    <w:rsid w:val="0040527C"/>
    <w:rsid w:val="004058DB"/>
    <w:rsid w:val="00412985"/>
    <w:rsid w:val="00414CD8"/>
    <w:rsid w:val="00417389"/>
    <w:rsid w:val="0044205B"/>
    <w:rsid w:val="0045253F"/>
    <w:rsid w:val="00465CE8"/>
    <w:rsid w:val="00493502"/>
    <w:rsid w:val="004A5498"/>
    <w:rsid w:val="004B03C5"/>
    <w:rsid w:val="004B3927"/>
    <w:rsid w:val="004B5152"/>
    <w:rsid w:val="004B5839"/>
    <w:rsid w:val="004C203B"/>
    <w:rsid w:val="004C5832"/>
    <w:rsid w:val="004C63A4"/>
    <w:rsid w:val="004C7253"/>
    <w:rsid w:val="004C7C7A"/>
    <w:rsid w:val="004D3C58"/>
    <w:rsid w:val="004D450E"/>
    <w:rsid w:val="004E70D6"/>
    <w:rsid w:val="004E7296"/>
    <w:rsid w:val="004F2159"/>
    <w:rsid w:val="004F2AFA"/>
    <w:rsid w:val="00501FF2"/>
    <w:rsid w:val="00504FD1"/>
    <w:rsid w:val="0051049D"/>
    <w:rsid w:val="00516344"/>
    <w:rsid w:val="00521C98"/>
    <w:rsid w:val="00555F5F"/>
    <w:rsid w:val="00567292"/>
    <w:rsid w:val="00570ED3"/>
    <w:rsid w:val="005738BB"/>
    <w:rsid w:val="00583A47"/>
    <w:rsid w:val="00594E19"/>
    <w:rsid w:val="00596BC5"/>
    <w:rsid w:val="005C679B"/>
    <w:rsid w:val="005E1EC5"/>
    <w:rsid w:val="005E6E48"/>
    <w:rsid w:val="005F2D42"/>
    <w:rsid w:val="005F6353"/>
    <w:rsid w:val="00602D80"/>
    <w:rsid w:val="0060455D"/>
    <w:rsid w:val="00621B6F"/>
    <w:rsid w:val="00624D6E"/>
    <w:rsid w:val="00633D31"/>
    <w:rsid w:val="00651F87"/>
    <w:rsid w:val="0065696A"/>
    <w:rsid w:val="00665C61"/>
    <w:rsid w:val="006743CC"/>
    <w:rsid w:val="00674442"/>
    <w:rsid w:val="006836FC"/>
    <w:rsid w:val="00684D75"/>
    <w:rsid w:val="00685200"/>
    <w:rsid w:val="00687607"/>
    <w:rsid w:val="0069019D"/>
    <w:rsid w:val="006944F4"/>
    <w:rsid w:val="006A1F93"/>
    <w:rsid w:val="006A3A13"/>
    <w:rsid w:val="006B619D"/>
    <w:rsid w:val="006B7D9C"/>
    <w:rsid w:val="006C593B"/>
    <w:rsid w:val="006C6ECB"/>
    <w:rsid w:val="006C7358"/>
    <w:rsid w:val="006D1319"/>
    <w:rsid w:val="006D2092"/>
    <w:rsid w:val="006D774E"/>
    <w:rsid w:val="006E6A87"/>
    <w:rsid w:val="006F56D0"/>
    <w:rsid w:val="00714B0F"/>
    <w:rsid w:val="00715394"/>
    <w:rsid w:val="00732355"/>
    <w:rsid w:val="00736555"/>
    <w:rsid w:val="00740444"/>
    <w:rsid w:val="0074485E"/>
    <w:rsid w:val="00746713"/>
    <w:rsid w:val="00751102"/>
    <w:rsid w:val="00792125"/>
    <w:rsid w:val="007A39B7"/>
    <w:rsid w:val="007A3F03"/>
    <w:rsid w:val="007A7C84"/>
    <w:rsid w:val="007C1848"/>
    <w:rsid w:val="007E305B"/>
    <w:rsid w:val="007E40D3"/>
    <w:rsid w:val="007F716D"/>
    <w:rsid w:val="008151B5"/>
    <w:rsid w:val="00836309"/>
    <w:rsid w:val="00850620"/>
    <w:rsid w:val="00864DE2"/>
    <w:rsid w:val="00895795"/>
    <w:rsid w:val="008971A1"/>
    <w:rsid w:val="008973BA"/>
    <w:rsid w:val="008A511F"/>
    <w:rsid w:val="008D6F2E"/>
    <w:rsid w:val="008E4861"/>
    <w:rsid w:val="008E794F"/>
    <w:rsid w:val="0090103A"/>
    <w:rsid w:val="00917492"/>
    <w:rsid w:val="00924568"/>
    <w:rsid w:val="009367D0"/>
    <w:rsid w:val="00937745"/>
    <w:rsid w:val="00944B03"/>
    <w:rsid w:val="009451D3"/>
    <w:rsid w:val="00950FDD"/>
    <w:rsid w:val="0095165B"/>
    <w:rsid w:val="00967699"/>
    <w:rsid w:val="009771B6"/>
    <w:rsid w:val="00982E45"/>
    <w:rsid w:val="0098536C"/>
    <w:rsid w:val="009928E0"/>
    <w:rsid w:val="00996D9C"/>
    <w:rsid w:val="009A4531"/>
    <w:rsid w:val="009B3F39"/>
    <w:rsid w:val="009B6880"/>
    <w:rsid w:val="009C0CF0"/>
    <w:rsid w:val="009D191A"/>
    <w:rsid w:val="009D34F6"/>
    <w:rsid w:val="009E2921"/>
    <w:rsid w:val="009F6A07"/>
    <w:rsid w:val="00A0308B"/>
    <w:rsid w:val="00A13744"/>
    <w:rsid w:val="00A21F65"/>
    <w:rsid w:val="00A269DD"/>
    <w:rsid w:val="00A363DC"/>
    <w:rsid w:val="00A43AA5"/>
    <w:rsid w:val="00A52818"/>
    <w:rsid w:val="00A56AE6"/>
    <w:rsid w:val="00A75742"/>
    <w:rsid w:val="00A77499"/>
    <w:rsid w:val="00A8398F"/>
    <w:rsid w:val="00A91F1C"/>
    <w:rsid w:val="00AA0AED"/>
    <w:rsid w:val="00AB1A1C"/>
    <w:rsid w:val="00AE35D5"/>
    <w:rsid w:val="00AE3F17"/>
    <w:rsid w:val="00AE4530"/>
    <w:rsid w:val="00AE50C8"/>
    <w:rsid w:val="00B0045A"/>
    <w:rsid w:val="00B23907"/>
    <w:rsid w:val="00B346F0"/>
    <w:rsid w:val="00B465BE"/>
    <w:rsid w:val="00B5599A"/>
    <w:rsid w:val="00B57F3D"/>
    <w:rsid w:val="00B85CF9"/>
    <w:rsid w:val="00B91CF3"/>
    <w:rsid w:val="00B93297"/>
    <w:rsid w:val="00BB371C"/>
    <w:rsid w:val="00BB7E64"/>
    <w:rsid w:val="00BC246B"/>
    <w:rsid w:val="00BE6B2F"/>
    <w:rsid w:val="00C00C52"/>
    <w:rsid w:val="00C13F96"/>
    <w:rsid w:val="00C16681"/>
    <w:rsid w:val="00C26D7F"/>
    <w:rsid w:val="00C31AEA"/>
    <w:rsid w:val="00C5180E"/>
    <w:rsid w:val="00C604EB"/>
    <w:rsid w:val="00C61215"/>
    <w:rsid w:val="00C65337"/>
    <w:rsid w:val="00C7115A"/>
    <w:rsid w:val="00C86857"/>
    <w:rsid w:val="00CA1459"/>
    <w:rsid w:val="00CC078D"/>
    <w:rsid w:val="00CC3C92"/>
    <w:rsid w:val="00CD64AB"/>
    <w:rsid w:val="00CD6901"/>
    <w:rsid w:val="00CE55C5"/>
    <w:rsid w:val="00D020DE"/>
    <w:rsid w:val="00D045CF"/>
    <w:rsid w:val="00D33AED"/>
    <w:rsid w:val="00D454F1"/>
    <w:rsid w:val="00D64835"/>
    <w:rsid w:val="00D65E3C"/>
    <w:rsid w:val="00D73893"/>
    <w:rsid w:val="00D763C1"/>
    <w:rsid w:val="00D82999"/>
    <w:rsid w:val="00D95CB7"/>
    <w:rsid w:val="00DA1BF4"/>
    <w:rsid w:val="00DA2DF3"/>
    <w:rsid w:val="00DB22B3"/>
    <w:rsid w:val="00DC3038"/>
    <w:rsid w:val="00DD3BC1"/>
    <w:rsid w:val="00DD76D7"/>
    <w:rsid w:val="00DE117C"/>
    <w:rsid w:val="00DE2AAB"/>
    <w:rsid w:val="00DE61C0"/>
    <w:rsid w:val="00DF6BC7"/>
    <w:rsid w:val="00E11CBE"/>
    <w:rsid w:val="00E13309"/>
    <w:rsid w:val="00E218C4"/>
    <w:rsid w:val="00E30561"/>
    <w:rsid w:val="00E376E4"/>
    <w:rsid w:val="00E40D36"/>
    <w:rsid w:val="00E543C0"/>
    <w:rsid w:val="00E550A2"/>
    <w:rsid w:val="00E72926"/>
    <w:rsid w:val="00E76441"/>
    <w:rsid w:val="00E844C3"/>
    <w:rsid w:val="00E87A8B"/>
    <w:rsid w:val="00E957A8"/>
    <w:rsid w:val="00E95A0E"/>
    <w:rsid w:val="00E96D6B"/>
    <w:rsid w:val="00EA2F8A"/>
    <w:rsid w:val="00EB0E8C"/>
    <w:rsid w:val="00EE03E1"/>
    <w:rsid w:val="00EE0B17"/>
    <w:rsid w:val="00EE4E3A"/>
    <w:rsid w:val="00F14987"/>
    <w:rsid w:val="00F26033"/>
    <w:rsid w:val="00F31291"/>
    <w:rsid w:val="00F31BF6"/>
    <w:rsid w:val="00F40081"/>
    <w:rsid w:val="00F41348"/>
    <w:rsid w:val="00F5323F"/>
    <w:rsid w:val="00F539D7"/>
    <w:rsid w:val="00F657CD"/>
    <w:rsid w:val="00F70A2D"/>
    <w:rsid w:val="00F72960"/>
    <w:rsid w:val="00F764EE"/>
    <w:rsid w:val="00F846C9"/>
    <w:rsid w:val="00F85DE5"/>
    <w:rsid w:val="00FA6804"/>
    <w:rsid w:val="00FB2FF2"/>
    <w:rsid w:val="00FB461B"/>
    <w:rsid w:val="00FC5F13"/>
    <w:rsid w:val="00FC68AC"/>
    <w:rsid w:val="00FF74B0"/>
    <w:rsid w:val="01E4274C"/>
    <w:rsid w:val="02540EB5"/>
    <w:rsid w:val="0260624B"/>
    <w:rsid w:val="04E55D3C"/>
    <w:rsid w:val="05044557"/>
    <w:rsid w:val="05474A65"/>
    <w:rsid w:val="05CF55B2"/>
    <w:rsid w:val="0758D114"/>
    <w:rsid w:val="076028E4"/>
    <w:rsid w:val="08FB3C67"/>
    <w:rsid w:val="08FF7153"/>
    <w:rsid w:val="09B9291F"/>
    <w:rsid w:val="0A9D34FD"/>
    <w:rsid w:val="0DFECA63"/>
    <w:rsid w:val="0E4D3EC6"/>
    <w:rsid w:val="0ED861A2"/>
    <w:rsid w:val="11893932"/>
    <w:rsid w:val="13A83DF3"/>
    <w:rsid w:val="16DB169D"/>
    <w:rsid w:val="17F78D28"/>
    <w:rsid w:val="17FFE453"/>
    <w:rsid w:val="18BF825C"/>
    <w:rsid w:val="19BB8594"/>
    <w:rsid w:val="1AEE49D0"/>
    <w:rsid w:val="1C03338D"/>
    <w:rsid w:val="1C7E14DE"/>
    <w:rsid w:val="1D176380"/>
    <w:rsid w:val="1DF6408D"/>
    <w:rsid w:val="1EDF07A0"/>
    <w:rsid w:val="1FFF85ED"/>
    <w:rsid w:val="1FFFE7DD"/>
    <w:rsid w:val="248B6739"/>
    <w:rsid w:val="2B1418DE"/>
    <w:rsid w:val="2C0C1B64"/>
    <w:rsid w:val="2CBF8581"/>
    <w:rsid w:val="2D7F1E6E"/>
    <w:rsid w:val="2FCE6554"/>
    <w:rsid w:val="2FDBE8D2"/>
    <w:rsid w:val="2FEFFF79"/>
    <w:rsid w:val="2FF34151"/>
    <w:rsid w:val="32DC693D"/>
    <w:rsid w:val="332D140F"/>
    <w:rsid w:val="36CB7180"/>
    <w:rsid w:val="376F6334"/>
    <w:rsid w:val="387B78B5"/>
    <w:rsid w:val="39006505"/>
    <w:rsid w:val="3A3A19BC"/>
    <w:rsid w:val="3B777027"/>
    <w:rsid w:val="3BF071A5"/>
    <w:rsid w:val="3CDB6B89"/>
    <w:rsid w:val="3CDDBC9E"/>
    <w:rsid w:val="3D0E7837"/>
    <w:rsid w:val="3D7F3A9C"/>
    <w:rsid w:val="3DDD1D98"/>
    <w:rsid w:val="3E6FB391"/>
    <w:rsid w:val="3EE78219"/>
    <w:rsid w:val="3F7DBDE5"/>
    <w:rsid w:val="3FAD095A"/>
    <w:rsid w:val="401909ED"/>
    <w:rsid w:val="43D73D3E"/>
    <w:rsid w:val="451C4534"/>
    <w:rsid w:val="454C2FA6"/>
    <w:rsid w:val="45DD656A"/>
    <w:rsid w:val="46C11FA8"/>
    <w:rsid w:val="4A74C44F"/>
    <w:rsid w:val="4D807F9C"/>
    <w:rsid w:val="4F6A7ED8"/>
    <w:rsid w:val="4FDE81C0"/>
    <w:rsid w:val="52F3389A"/>
    <w:rsid w:val="52FFA36D"/>
    <w:rsid w:val="5311612E"/>
    <w:rsid w:val="53FD13B8"/>
    <w:rsid w:val="54FD04BF"/>
    <w:rsid w:val="55EBB96A"/>
    <w:rsid w:val="56101E5F"/>
    <w:rsid w:val="5614371D"/>
    <w:rsid w:val="563427F3"/>
    <w:rsid w:val="56C592E5"/>
    <w:rsid w:val="57B7B48A"/>
    <w:rsid w:val="57E804D9"/>
    <w:rsid w:val="58427BDC"/>
    <w:rsid w:val="596F0171"/>
    <w:rsid w:val="5989E670"/>
    <w:rsid w:val="59FF32A4"/>
    <w:rsid w:val="5ADFBDBC"/>
    <w:rsid w:val="5BDD37DE"/>
    <w:rsid w:val="5D4B0652"/>
    <w:rsid w:val="5ECE9A07"/>
    <w:rsid w:val="5EDF30C0"/>
    <w:rsid w:val="5EF06E91"/>
    <w:rsid w:val="5F561CB9"/>
    <w:rsid w:val="5F6F775B"/>
    <w:rsid w:val="5FBF44B8"/>
    <w:rsid w:val="5FBFA880"/>
    <w:rsid w:val="5FEB2E92"/>
    <w:rsid w:val="62190FB7"/>
    <w:rsid w:val="626A50E1"/>
    <w:rsid w:val="633D88E2"/>
    <w:rsid w:val="63FF9D6B"/>
    <w:rsid w:val="660106FB"/>
    <w:rsid w:val="677FFD90"/>
    <w:rsid w:val="67F718A9"/>
    <w:rsid w:val="6B5F39BE"/>
    <w:rsid w:val="6BC7A09E"/>
    <w:rsid w:val="6CF2F94F"/>
    <w:rsid w:val="6DE71C80"/>
    <w:rsid w:val="6EEDA1FE"/>
    <w:rsid w:val="6EEE6B8A"/>
    <w:rsid w:val="6F149E89"/>
    <w:rsid w:val="6F790368"/>
    <w:rsid w:val="6F7E6128"/>
    <w:rsid w:val="6F7FB3B2"/>
    <w:rsid w:val="6FDF3AF6"/>
    <w:rsid w:val="6FFF157A"/>
    <w:rsid w:val="6FFFB727"/>
    <w:rsid w:val="717B787D"/>
    <w:rsid w:val="73352D5F"/>
    <w:rsid w:val="73756832"/>
    <w:rsid w:val="737B12C6"/>
    <w:rsid w:val="73AF1BFF"/>
    <w:rsid w:val="747D2FA5"/>
    <w:rsid w:val="74F182BA"/>
    <w:rsid w:val="74FE9892"/>
    <w:rsid w:val="7579FA29"/>
    <w:rsid w:val="75EE16D3"/>
    <w:rsid w:val="75F754C7"/>
    <w:rsid w:val="76ED3B6B"/>
    <w:rsid w:val="76FB4F6C"/>
    <w:rsid w:val="76FEECD6"/>
    <w:rsid w:val="77027B4C"/>
    <w:rsid w:val="779B574C"/>
    <w:rsid w:val="77CE3CF2"/>
    <w:rsid w:val="77EDB4C0"/>
    <w:rsid w:val="77FFDCA2"/>
    <w:rsid w:val="78D2B5E7"/>
    <w:rsid w:val="7A7E3541"/>
    <w:rsid w:val="7AFBF201"/>
    <w:rsid w:val="7AFD1695"/>
    <w:rsid w:val="7B4B698B"/>
    <w:rsid w:val="7BB79B18"/>
    <w:rsid w:val="7BEF9C7A"/>
    <w:rsid w:val="7BF4118F"/>
    <w:rsid w:val="7BFEEEA0"/>
    <w:rsid w:val="7CFE563E"/>
    <w:rsid w:val="7D67441B"/>
    <w:rsid w:val="7D7AAF34"/>
    <w:rsid w:val="7D7B4F49"/>
    <w:rsid w:val="7D7F4423"/>
    <w:rsid w:val="7D9D0E0E"/>
    <w:rsid w:val="7DC8957E"/>
    <w:rsid w:val="7DDB54D4"/>
    <w:rsid w:val="7DDFCF33"/>
    <w:rsid w:val="7E0F23BB"/>
    <w:rsid w:val="7E2792BA"/>
    <w:rsid w:val="7E2D5C39"/>
    <w:rsid w:val="7E7726D5"/>
    <w:rsid w:val="7EA4D0BA"/>
    <w:rsid w:val="7EE7FFBF"/>
    <w:rsid w:val="7F3578B4"/>
    <w:rsid w:val="7F6E73AE"/>
    <w:rsid w:val="7F7E53FD"/>
    <w:rsid w:val="7F7F2905"/>
    <w:rsid w:val="7F9FC6CB"/>
    <w:rsid w:val="7FB93FD4"/>
    <w:rsid w:val="7FBBE745"/>
    <w:rsid w:val="7FBF7E1A"/>
    <w:rsid w:val="7FCD8D18"/>
    <w:rsid w:val="7FCD94CF"/>
    <w:rsid w:val="7FD988CA"/>
    <w:rsid w:val="7FDC3470"/>
    <w:rsid w:val="7FEA45CE"/>
    <w:rsid w:val="7FEAE61F"/>
    <w:rsid w:val="7FEB60CC"/>
    <w:rsid w:val="7FEF8D29"/>
    <w:rsid w:val="7FF42519"/>
    <w:rsid w:val="7FF7F114"/>
    <w:rsid w:val="7FF90936"/>
    <w:rsid w:val="7FFB0EDB"/>
    <w:rsid w:val="7FFE50E7"/>
    <w:rsid w:val="7FFFDF6E"/>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uiPriority="10"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rsid w:val="007A39B7"/>
    <w:pPr>
      <w:widowControl w:val="0"/>
      <w:jc w:val="both"/>
    </w:pPr>
    <w:rPr>
      <w:rFonts w:eastAsia="仿宋_GB2312"/>
      <w:kern w:val="2"/>
      <w:sz w:val="32"/>
      <w:szCs w:val="32"/>
    </w:rPr>
  </w:style>
  <w:style w:type="paragraph" w:styleId="1">
    <w:name w:val="heading 1"/>
    <w:basedOn w:val="a"/>
    <w:next w:val="a"/>
    <w:uiPriority w:val="9"/>
    <w:qFormat/>
    <w:rsid w:val="007A39B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a4"/>
    <w:rsid w:val="007A39B7"/>
    <w:pPr>
      <w:spacing w:after="120"/>
    </w:pPr>
  </w:style>
  <w:style w:type="paragraph" w:styleId="a4">
    <w:name w:val="Title"/>
    <w:basedOn w:val="a"/>
    <w:next w:val="a"/>
    <w:uiPriority w:val="10"/>
    <w:qFormat/>
    <w:rsid w:val="007A39B7"/>
    <w:pPr>
      <w:spacing w:before="240" w:after="60"/>
      <w:jc w:val="center"/>
      <w:outlineLvl w:val="0"/>
    </w:pPr>
    <w:rPr>
      <w:rFonts w:ascii="Cambria" w:hAnsi="Cambria"/>
      <w:b/>
      <w:bCs/>
    </w:rPr>
  </w:style>
  <w:style w:type="paragraph" w:styleId="a5">
    <w:name w:val="Document Map"/>
    <w:basedOn w:val="a"/>
    <w:semiHidden/>
    <w:rsid w:val="007A39B7"/>
    <w:pPr>
      <w:shd w:val="clear" w:color="auto" w:fill="000080"/>
    </w:pPr>
  </w:style>
  <w:style w:type="paragraph" w:styleId="a6">
    <w:name w:val="annotation text"/>
    <w:basedOn w:val="a"/>
    <w:qFormat/>
    <w:rsid w:val="007A39B7"/>
    <w:pPr>
      <w:jc w:val="left"/>
    </w:pPr>
  </w:style>
  <w:style w:type="paragraph" w:styleId="a7">
    <w:name w:val="Body Text Indent"/>
    <w:basedOn w:val="a"/>
    <w:rsid w:val="007A39B7"/>
    <w:pPr>
      <w:spacing w:line="360" w:lineRule="auto"/>
      <w:ind w:firstLineChars="200" w:firstLine="560"/>
    </w:pPr>
    <w:rPr>
      <w:rFonts w:ascii="宋体" w:eastAsia="宋体" w:hAnsi="宋体"/>
      <w:sz w:val="28"/>
      <w:szCs w:val="20"/>
    </w:rPr>
  </w:style>
  <w:style w:type="paragraph" w:styleId="a8">
    <w:name w:val="Date"/>
    <w:basedOn w:val="a"/>
    <w:next w:val="a"/>
    <w:rsid w:val="007A39B7"/>
    <w:pPr>
      <w:ind w:leftChars="2500" w:left="100"/>
    </w:pPr>
  </w:style>
  <w:style w:type="paragraph" w:styleId="2">
    <w:name w:val="Body Text Indent 2"/>
    <w:basedOn w:val="a"/>
    <w:rsid w:val="007A39B7"/>
    <w:pPr>
      <w:ind w:firstLineChars="200" w:firstLine="608"/>
    </w:pPr>
    <w:rPr>
      <w:spacing w:val="-4"/>
      <w:szCs w:val="24"/>
    </w:rPr>
  </w:style>
  <w:style w:type="paragraph" w:styleId="a9">
    <w:name w:val="Balloon Text"/>
    <w:basedOn w:val="a"/>
    <w:semiHidden/>
    <w:rsid w:val="007A39B7"/>
    <w:rPr>
      <w:sz w:val="18"/>
      <w:szCs w:val="18"/>
    </w:rPr>
  </w:style>
  <w:style w:type="paragraph" w:styleId="aa">
    <w:name w:val="footer"/>
    <w:basedOn w:val="a"/>
    <w:link w:val="Char"/>
    <w:rsid w:val="007A39B7"/>
    <w:pPr>
      <w:tabs>
        <w:tab w:val="center" w:pos="4153"/>
        <w:tab w:val="right" w:pos="8306"/>
      </w:tabs>
      <w:snapToGrid w:val="0"/>
      <w:jc w:val="left"/>
    </w:pPr>
    <w:rPr>
      <w:sz w:val="18"/>
      <w:szCs w:val="18"/>
    </w:rPr>
  </w:style>
  <w:style w:type="paragraph" w:styleId="ab">
    <w:name w:val="header"/>
    <w:basedOn w:val="a"/>
    <w:rsid w:val="007A39B7"/>
    <w:pPr>
      <w:pBdr>
        <w:bottom w:val="single" w:sz="6" w:space="1" w:color="auto"/>
      </w:pBdr>
      <w:tabs>
        <w:tab w:val="center" w:pos="4153"/>
        <w:tab w:val="right" w:pos="8306"/>
      </w:tabs>
      <w:snapToGrid w:val="0"/>
      <w:jc w:val="center"/>
    </w:pPr>
    <w:rPr>
      <w:sz w:val="18"/>
      <w:szCs w:val="18"/>
    </w:rPr>
  </w:style>
  <w:style w:type="paragraph" w:styleId="20">
    <w:name w:val="Body Text 2"/>
    <w:basedOn w:val="a"/>
    <w:rsid w:val="007A39B7"/>
    <w:pPr>
      <w:spacing w:after="120" w:line="480" w:lineRule="auto"/>
    </w:pPr>
    <w:rPr>
      <w:rFonts w:eastAsia="宋体"/>
      <w:sz w:val="21"/>
      <w:szCs w:val="24"/>
    </w:rPr>
  </w:style>
  <w:style w:type="paragraph" w:styleId="ac">
    <w:name w:val="Normal (Web)"/>
    <w:basedOn w:val="a"/>
    <w:uiPriority w:val="99"/>
    <w:rsid w:val="007A39B7"/>
    <w:pPr>
      <w:widowControl/>
      <w:spacing w:before="100" w:beforeAutospacing="1" w:after="100" w:afterAutospacing="1"/>
      <w:jc w:val="left"/>
    </w:pPr>
    <w:rPr>
      <w:rFonts w:ascii="宋体" w:eastAsia="宋体" w:hAnsi="宋体" w:cs="宋体"/>
      <w:color w:val="000000"/>
      <w:kern w:val="0"/>
      <w:sz w:val="24"/>
      <w:szCs w:val="24"/>
    </w:rPr>
  </w:style>
  <w:style w:type="table" w:styleId="ad">
    <w:name w:val="Table Grid"/>
    <w:basedOn w:val="a2"/>
    <w:rsid w:val="007A39B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qFormat/>
    <w:rsid w:val="007A39B7"/>
    <w:rPr>
      <w:b/>
    </w:rPr>
  </w:style>
  <w:style w:type="character" w:styleId="af">
    <w:name w:val="page number"/>
    <w:rsid w:val="007A39B7"/>
  </w:style>
  <w:style w:type="character" w:styleId="af0">
    <w:name w:val="Emphasis"/>
    <w:qFormat/>
    <w:rsid w:val="007A39B7"/>
    <w:rPr>
      <w:color w:val="CC0000"/>
    </w:rPr>
  </w:style>
  <w:style w:type="character" w:styleId="af1">
    <w:name w:val="Hyperlink"/>
    <w:rsid w:val="007A39B7"/>
    <w:rPr>
      <w:color w:val="0000FF"/>
      <w:u w:val="single"/>
    </w:rPr>
  </w:style>
  <w:style w:type="character" w:styleId="af2">
    <w:name w:val="annotation reference"/>
    <w:qFormat/>
    <w:rsid w:val="007A39B7"/>
    <w:rPr>
      <w:sz w:val="21"/>
      <w:szCs w:val="21"/>
    </w:rPr>
  </w:style>
  <w:style w:type="character" w:customStyle="1" w:styleId="Char">
    <w:name w:val="页脚 Char"/>
    <w:link w:val="aa"/>
    <w:rsid w:val="007A39B7"/>
    <w:rPr>
      <w:rFonts w:eastAsia="仿宋_GB2312"/>
      <w:kern w:val="2"/>
      <w:sz w:val="18"/>
      <w:szCs w:val="18"/>
      <w:lang w:val="en-US" w:eastAsia="zh-CN" w:bidi="ar-SA"/>
    </w:rPr>
  </w:style>
  <w:style w:type="paragraph" w:customStyle="1" w:styleId="Char0">
    <w:name w:val="Char"/>
    <w:basedOn w:val="a5"/>
    <w:rsid w:val="007A39B7"/>
    <w:pPr>
      <w:adjustRightInd w:val="0"/>
      <w:spacing w:line="436" w:lineRule="exact"/>
      <w:ind w:left="357"/>
      <w:jc w:val="left"/>
      <w:outlineLvl w:val="3"/>
    </w:pPr>
    <w:rPr>
      <w:rFonts w:ascii="Tahoma" w:hAnsi="Tahoma"/>
      <w:b/>
      <w:sz w:val="24"/>
    </w:rPr>
  </w:style>
  <w:style w:type="paragraph" w:customStyle="1" w:styleId="p0">
    <w:name w:val="p0"/>
    <w:basedOn w:val="a"/>
    <w:rsid w:val="007A39B7"/>
    <w:pPr>
      <w:widowControl/>
    </w:pPr>
    <w:rPr>
      <w:rFonts w:eastAsia="宋体"/>
      <w:kern w:val="0"/>
      <w:sz w:val="21"/>
      <w:szCs w:val="21"/>
    </w:rPr>
  </w:style>
  <w:style w:type="paragraph" w:customStyle="1" w:styleId="Char1">
    <w:name w:val="Char1"/>
    <w:basedOn w:val="a"/>
    <w:rsid w:val="007A39B7"/>
    <w:pPr>
      <w:tabs>
        <w:tab w:val="left" w:pos="360"/>
      </w:tabs>
    </w:pPr>
    <w:rPr>
      <w:szCs w:val="20"/>
    </w:rPr>
  </w:style>
  <w:style w:type="paragraph" w:customStyle="1" w:styleId="10">
    <w:name w:val="列出段落1"/>
    <w:basedOn w:val="a"/>
    <w:rsid w:val="007A39B7"/>
    <w:pPr>
      <w:ind w:firstLineChars="200" w:firstLine="420"/>
    </w:pPr>
    <w:rPr>
      <w:rFonts w:ascii="Calibri" w:eastAsia="宋体" w:hAnsi="Calibri"/>
      <w:sz w:val="21"/>
      <w:szCs w:val="22"/>
    </w:rPr>
  </w:style>
  <w:style w:type="paragraph" w:customStyle="1" w:styleId="ParaCharCharCharChar">
    <w:name w:val="默认段落字体 Para Char Char Char Char"/>
    <w:basedOn w:val="a"/>
    <w:rsid w:val="007A39B7"/>
    <w:rPr>
      <w:rFonts w:eastAsia="宋体"/>
      <w:sz w:val="21"/>
      <w:szCs w:val="20"/>
    </w:rPr>
  </w:style>
  <w:style w:type="paragraph" w:customStyle="1" w:styleId="11">
    <w:name w:val="正文缩进1"/>
    <w:basedOn w:val="a"/>
    <w:rsid w:val="007A39B7"/>
    <w:pPr>
      <w:ind w:firstLine="630"/>
    </w:pPr>
    <w:rPr>
      <w:kern w:val="0"/>
      <w:szCs w:val="20"/>
    </w:rPr>
  </w:style>
  <w:style w:type="paragraph" w:customStyle="1" w:styleId="p15">
    <w:name w:val="p15"/>
    <w:basedOn w:val="a"/>
    <w:rsid w:val="007A39B7"/>
    <w:pPr>
      <w:widowControl/>
      <w:spacing w:before="100" w:beforeAutospacing="1" w:after="100" w:afterAutospacing="1"/>
      <w:jc w:val="left"/>
    </w:pPr>
    <w:rPr>
      <w:rFonts w:ascii="宋体" w:eastAsia="宋体" w:hAnsi="宋体" w:cs="宋体"/>
      <w:kern w:val="0"/>
      <w:sz w:val="24"/>
      <w:szCs w:val="24"/>
    </w:rPr>
  </w:style>
  <w:style w:type="paragraph" w:customStyle="1" w:styleId="ParaCharCharCharCharCharCharCharCharCharCharCharCharCharCharCharChar">
    <w:name w:val="默认段落字体 Para Char Char Char Char Char Char Char Char Char Char Char Char Char Char Char Char"/>
    <w:basedOn w:val="a"/>
    <w:rsid w:val="007A39B7"/>
    <w:rPr>
      <w:rFonts w:eastAsia="宋体"/>
      <w:sz w:val="21"/>
      <w:szCs w:val="20"/>
    </w:rPr>
  </w:style>
  <w:style w:type="paragraph" w:customStyle="1" w:styleId="Char2">
    <w:name w:val="Char"/>
    <w:basedOn w:val="a"/>
    <w:rsid w:val="007A39B7"/>
    <w:pPr>
      <w:tabs>
        <w:tab w:val="left" w:pos="360"/>
      </w:tabs>
      <w:ind w:left="360" w:hangingChars="200" w:hanging="360"/>
    </w:pPr>
    <w:rPr>
      <w:rFonts w:eastAsia="宋体"/>
      <w:sz w:val="24"/>
    </w:rPr>
  </w:style>
  <w:style w:type="paragraph" w:customStyle="1" w:styleId="CharCharCharChar">
    <w:name w:val="Char Char Char Char"/>
    <w:basedOn w:val="a"/>
    <w:rsid w:val="007A39B7"/>
    <w:rPr>
      <w:rFonts w:eastAsia="宋体"/>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829</Words>
  <Characters>4730</Characters>
  <Application>Microsoft Office Word</Application>
  <DocSecurity>0</DocSecurity>
  <Lines>39</Lines>
  <Paragraphs>11</Paragraphs>
  <ScaleCrop>false</ScaleCrop>
  <Company>ahrd</Company>
  <LinksUpToDate>false</LinksUpToDate>
  <CharactersWithSpaces>5548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板心</dc:title>
  <dc:creator>ch</dc:creator>
  <cp:lastModifiedBy>AutoBVT</cp:lastModifiedBy>
  <cp:revision>3</cp:revision>
  <cp:lastPrinted>2021-09-14T19:16:00Z</cp:lastPrinted>
  <dcterms:created xsi:type="dcterms:W3CDTF">2018-04-18T00:59:00Z</dcterms:created>
  <dcterms:modified xsi:type="dcterms:W3CDTF">2021-11-26T01:05:00Z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y fmtid="{D5CDD505-2E9C-101B-9397-08002B2CF9AE}" pid="3" name="ICV">
    <vt:lpwstr>C255A22CAFE14DE9A53DA2E6F9AC3566</vt:lpwstr>
  </property>
</Properties>
</file>