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cs="宋体"/>
          <w:kern w:val="0"/>
          <w:sz w:val="44"/>
          <w:szCs w:val="44"/>
        </w:rPr>
      </w:pPr>
    </w:p>
    <w:p>
      <w:pPr>
        <w:spacing w:line="560" w:lineRule="exact"/>
        <w:jc w:val="center"/>
        <w:rPr>
          <w:rFonts w:hint="eastAsia" w:ascii="宋体" w:hAnsi="宋体" w:cs="宋体"/>
          <w:kern w:val="0"/>
          <w:sz w:val="44"/>
          <w:szCs w:val="44"/>
        </w:rPr>
      </w:pPr>
    </w:p>
    <w:p>
      <w:pPr>
        <w:spacing w:line="560" w:lineRule="exact"/>
        <w:jc w:val="center"/>
        <w:rPr>
          <w:rFonts w:hint="eastAsia" w:ascii="宋体" w:hAnsi="宋体" w:cs="宋体"/>
          <w:kern w:val="0"/>
          <w:sz w:val="44"/>
          <w:szCs w:val="44"/>
        </w:rPr>
      </w:pPr>
      <w:r>
        <w:rPr>
          <w:rFonts w:hint="eastAsia" w:ascii="宋体" w:hAnsi="宋体" w:cs="宋体"/>
          <w:kern w:val="0"/>
          <w:sz w:val="44"/>
          <w:szCs w:val="44"/>
        </w:rPr>
        <w:t>江布拉克景区保护管理条例</w:t>
      </w:r>
    </w:p>
    <w:p>
      <w:pPr>
        <w:spacing w:line="560" w:lineRule="exact"/>
        <w:rPr>
          <w:rFonts w:hint="eastAsia" w:ascii="楷体_GB2312" w:eastAsia="楷体_GB2312"/>
          <w:kern w:val="0"/>
          <w:sz w:val="32"/>
          <w:szCs w:val="32"/>
        </w:rPr>
      </w:pPr>
    </w:p>
    <w:p>
      <w:pPr>
        <w:spacing w:line="560" w:lineRule="exact"/>
        <w:ind w:left="708" w:leftChars="337" w:right="651" w:rightChars="310"/>
        <w:jc w:val="center"/>
        <w:rPr>
          <w:rFonts w:hint="eastAsia" w:ascii="楷体_GB2312" w:eastAsia="楷体_GB2312"/>
          <w:kern w:val="0"/>
          <w:sz w:val="32"/>
          <w:szCs w:val="32"/>
        </w:rPr>
      </w:pPr>
      <w:r>
        <w:rPr>
          <w:rFonts w:hint="eastAsia" w:ascii="楷体_GB2312" w:eastAsia="楷体_GB2312"/>
          <w:kern w:val="0"/>
          <w:sz w:val="32"/>
          <w:szCs w:val="32"/>
        </w:rPr>
        <w:t>（2018年3月16日昌吉回族自治州第十五届人民代表大会常务委员会第十次会议通过  2018年9月21日新疆维吾尔自治区第十三届人民代表大会常务委员会</w:t>
      </w:r>
    </w:p>
    <w:p>
      <w:pPr>
        <w:spacing w:line="560" w:lineRule="exact"/>
        <w:ind w:left="708" w:leftChars="337" w:right="651" w:rightChars="310"/>
        <w:jc w:val="center"/>
        <w:rPr>
          <w:rFonts w:hint="eastAsia" w:ascii="楷体_GB2312" w:eastAsia="楷体_GB2312"/>
          <w:kern w:val="0"/>
          <w:sz w:val="32"/>
          <w:szCs w:val="32"/>
        </w:rPr>
      </w:pPr>
      <w:r>
        <w:rPr>
          <w:rFonts w:hint="eastAsia" w:ascii="楷体_GB2312" w:eastAsia="楷体_GB2312"/>
          <w:kern w:val="0"/>
          <w:sz w:val="32"/>
          <w:szCs w:val="32"/>
        </w:rPr>
        <w:t>第六次会议批准）</w:t>
      </w:r>
    </w:p>
    <w:p>
      <w:pPr>
        <w:spacing w:line="560" w:lineRule="exact"/>
        <w:jc w:val="center"/>
        <w:rPr>
          <w:rFonts w:hint="eastAsia" w:ascii="楷体_GB2312" w:eastAsia="楷体_GB2312"/>
          <w:kern w:val="0"/>
          <w:sz w:val="32"/>
          <w:szCs w:val="32"/>
        </w:rPr>
      </w:pPr>
    </w:p>
    <w:p>
      <w:pPr>
        <w:spacing w:line="560" w:lineRule="exact"/>
        <w:ind w:firstLine="3840" w:firstLineChars="1200"/>
        <w:rPr>
          <w:rFonts w:hint="eastAsia" w:ascii="楷体_GB2312" w:eastAsia="楷体_GB2312"/>
          <w:kern w:val="0"/>
          <w:sz w:val="32"/>
          <w:szCs w:val="32"/>
        </w:rPr>
      </w:pPr>
      <w:r>
        <w:rPr>
          <w:rFonts w:hint="eastAsia" w:ascii="楷体_GB2312" w:eastAsia="楷体_GB2312"/>
          <w:kern w:val="0"/>
          <w:sz w:val="32"/>
          <w:szCs w:val="32"/>
        </w:rPr>
        <w:t>目  录</w:t>
      </w:r>
    </w:p>
    <w:p>
      <w:pPr>
        <w:spacing w:line="560" w:lineRule="exact"/>
        <w:ind w:firstLine="640" w:firstLineChars="200"/>
        <w:jc w:val="left"/>
        <w:rPr>
          <w:rFonts w:ascii="楷体_GB2312" w:eastAsia="楷体_GB2312"/>
          <w:kern w:val="0"/>
          <w:sz w:val="32"/>
          <w:szCs w:val="32"/>
        </w:rPr>
      </w:pPr>
      <w:r>
        <w:rPr>
          <w:rFonts w:hint="eastAsia" w:ascii="楷体_GB2312" w:eastAsia="楷体_GB2312"/>
          <w:kern w:val="0"/>
          <w:sz w:val="32"/>
          <w:szCs w:val="32"/>
        </w:rPr>
        <w:t>第一章</w:t>
      </w:r>
      <w:r>
        <w:rPr>
          <w:rFonts w:ascii="楷体_GB2312" w:eastAsia="楷体_GB2312"/>
          <w:kern w:val="0"/>
          <w:sz w:val="32"/>
          <w:szCs w:val="32"/>
        </w:rPr>
        <w:t xml:space="preserve">  </w:t>
      </w:r>
      <w:r>
        <w:rPr>
          <w:rFonts w:hint="eastAsia" w:ascii="楷体_GB2312" w:eastAsia="楷体_GB2312"/>
          <w:kern w:val="0"/>
          <w:sz w:val="32"/>
          <w:szCs w:val="32"/>
        </w:rPr>
        <w:t>总  则</w:t>
      </w:r>
    </w:p>
    <w:p>
      <w:pPr>
        <w:spacing w:line="560" w:lineRule="exact"/>
        <w:ind w:firstLine="640" w:firstLineChars="200"/>
        <w:jc w:val="left"/>
        <w:rPr>
          <w:rFonts w:ascii="楷体_GB2312" w:eastAsia="楷体_GB2312"/>
          <w:kern w:val="0"/>
          <w:sz w:val="32"/>
          <w:szCs w:val="32"/>
        </w:rPr>
      </w:pPr>
      <w:r>
        <w:rPr>
          <w:rFonts w:hint="eastAsia" w:ascii="楷体_GB2312" w:eastAsia="楷体_GB2312"/>
          <w:kern w:val="0"/>
          <w:sz w:val="32"/>
          <w:szCs w:val="32"/>
        </w:rPr>
        <w:t>第二章</w:t>
      </w:r>
      <w:r>
        <w:rPr>
          <w:rFonts w:ascii="楷体_GB2312" w:eastAsia="楷体_GB2312"/>
          <w:kern w:val="0"/>
          <w:sz w:val="32"/>
          <w:szCs w:val="32"/>
        </w:rPr>
        <w:t xml:space="preserve">  </w:t>
      </w:r>
      <w:r>
        <w:rPr>
          <w:rFonts w:hint="eastAsia" w:ascii="楷体_GB2312" w:eastAsia="楷体_GB2312"/>
          <w:kern w:val="0"/>
          <w:sz w:val="32"/>
          <w:szCs w:val="32"/>
        </w:rPr>
        <w:t>规划建设</w:t>
      </w:r>
    </w:p>
    <w:p>
      <w:pPr>
        <w:spacing w:line="560" w:lineRule="exact"/>
        <w:ind w:firstLine="640" w:firstLineChars="200"/>
        <w:jc w:val="left"/>
        <w:rPr>
          <w:rFonts w:ascii="楷体_GB2312" w:eastAsia="楷体_GB2312"/>
          <w:kern w:val="0"/>
          <w:sz w:val="32"/>
          <w:szCs w:val="32"/>
        </w:rPr>
      </w:pPr>
      <w:r>
        <w:rPr>
          <w:rFonts w:hint="eastAsia" w:ascii="楷体_GB2312" w:eastAsia="楷体_GB2312"/>
          <w:kern w:val="0"/>
          <w:sz w:val="32"/>
          <w:szCs w:val="32"/>
        </w:rPr>
        <w:t>第三章</w:t>
      </w:r>
      <w:r>
        <w:rPr>
          <w:rFonts w:ascii="楷体_GB2312" w:eastAsia="楷体_GB2312"/>
          <w:kern w:val="0"/>
          <w:sz w:val="32"/>
          <w:szCs w:val="32"/>
        </w:rPr>
        <w:t xml:space="preserve">  </w:t>
      </w:r>
      <w:r>
        <w:rPr>
          <w:rFonts w:hint="eastAsia" w:ascii="楷体_GB2312" w:eastAsia="楷体_GB2312"/>
          <w:kern w:val="0"/>
          <w:sz w:val="32"/>
          <w:szCs w:val="32"/>
        </w:rPr>
        <w:t>保护管理</w:t>
      </w:r>
    </w:p>
    <w:p>
      <w:pPr>
        <w:spacing w:line="560" w:lineRule="exact"/>
        <w:ind w:firstLine="640" w:firstLineChars="200"/>
        <w:jc w:val="left"/>
        <w:rPr>
          <w:rFonts w:ascii="楷体_GB2312" w:eastAsia="楷体_GB2312"/>
          <w:kern w:val="0"/>
          <w:sz w:val="32"/>
          <w:szCs w:val="32"/>
        </w:rPr>
      </w:pPr>
      <w:r>
        <w:rPr>
          <w:rFonts w:hint="eastAsia" w:ascii="楷体_GB2312" w:eastAsia="楷体_GB2312"/>
          <w:kern w:val="0"/>
          <w:sz w:val="32"/>
          <w:szCs w:val="32"/>
        </w:rPr>
        <w:t>第四章</w:t>
      </w:r>
      <w:r>
        <w:rPr>
          <w:rFonts w:ascii="楷体_GB2312" w:eastAsia="楷体_GB2312"/>
          <w:kern w:val="0"/>
          <w:sz w:val="32"/>
          <w:szCs w:val="32"/>
        </w:rPr>
        <w:t xml:space="preserve">  </w:t>
      </w:r>
      <w:r>
        <w:rPr>
          <w:rFonts w:hint="eastAsia" w:ascii="楷体_GB2312" w:eastAsia="楷体_GB2312"/>
          <w:kern w:val="0"/>
          <w:sz w:val="32"/>
          <w:szCs w:val="32"/>
        </w:rPr>
        <w:t>法律责任</w:t>
      </w:r>
    </w:p>
    <w:p>
      <w:pPr>
        <w:spacing w:line="560" w:lineRule="exact"/>
        <w:ind w:firstLine="640" w:firstLineChars="200"/>
        <w:jc w:val="left"/>
        <w:rPr>
          <w:rFonts w:ascii="楷体_GB2312" w:eastAsia="楷体_GB2312"/>
          <w:kern w:val="0"/>
          <w:sz w:val="32"/>
          <w:szCs w:val="32"/>
        </w:rPr>
      </w:pPr>
      <w:r>
        <w:rPr>
          <w:rFonts w:hint="eastAsia" w:ascii="楷体_GB2312" w:eastAsia="楷体_GB2312"/>
          <w:kern w:val="0"/>
          <w:sz w:val="32"/>
          <w:szCs w:val="32"/>
        </w:rPr>
        <w:t>第五章</w:t>
      </w:r>
      <w:r>
        <w:rPr>
          <w:rFonts w:ascii="楷体_GB2312" w:eastAsia="楷体_GB2312"/>
          <w:kern w:val="0"/>
          <w:sz w:val="32"/>
          <w:szCs w:val="32"/>
        </w:rPr>
        <w:t xml:space="preserve">  </w:t>
      </w:r>
      <w:r>
        <w:rPr>
          <w:rFonts w:hint="eastAsia" w:ascii="楷体_GB2312" w:eastAsia="楷体_GB2312"/>
          <w:kern w:val="0"/>
          <w:sz w:val="32"/>
          <w:szCs w:val="32"/>
        </w:rPr>
        <w:t>附  则</w:t>
      </w:r>
    </w:p>
    <w:p>
      <w:pPr>
        <w:spacing w:line="560" w:lineRule="exact"/>
        <w:rPr>
          <w:rFonts w:ascii="黑体" w:hAnsi="黑体" w:eastAsia="黑体" w:cs="黑体"/>
          <w:kern w:val="0"/>
          <w:sz w:val="32"/>
          <w:szCs w:val="32"/>
        </w:rPr>
      </w:pPr>
      <w:bookmarkStart w:id="0" w:name="_GoBack"/>
      <w:bookmarkEnd w:id="0"/>
    </w:p>
    <w:p>
      <w:pPr>
        <w:spacing w:line="560" w:lineRule="exact"/>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第一章</w:t>
      </w:r>
      <w:r>
        <w:rPr>
          <w:rFonts w:ascii="黑体" w:hAnsi="黑体" w:eastAsia="黑体" w:cs="黑体"/>
          <w:color w:val="000000"/>
          <w:kern w:val="0"/>
          <w:sz w:val="32"/>
          <w:szCs w:val="32"/>
        </w:rPr>
        <w:t xml:space="preserve">  </w:t>
      </w:r>
      <w:r>
        <w:rPr>
          <w:rFonts w:hint="eastAsia" w:ascii="黑体" w:hAnsi="黑体" w:eastAsia="黑体" w:cs="黑体"/>
          <w:color w:val="000000"/>
          <w:kern w:val="0"/>
          <w:sz w:val="32"/>
          <w:szCs w:val="32"/>
        </w:rPr>
        <w:t>总</w:t>
      </w:r>
      <w:r>
        <w:rPr>
          <w:rFonts w:ascii="黑体" w:hAnsi="黑体" w:eastAsia="黑体" w:cs="黑体"/>
          <w:color w:val="000000"/>
          <w:kern w:val="0"/>
          <w:sz w:val="32"/>
          <w:szCs w:val="32"/>
        </w:rPr>
        <w:t xml:space="preserve">  </w:t>
      </w:r>
      <w:r>
        <w:rPr>
          <w:rFonts w:hint="eastAsia" w:ascii="黑体" w:hAnsi="黑体" w:eastAsia="黑体" w:cs="黑体"/>
          <w:color w:val="000000"/>
          <w:kern w:val="0"/>
          <w:sz w:val="32"/>
          <w:szCs w:val="32"/>
        </w:rPr>
        <w:t>则</w:t>
      </w:r>
    </w:p>
    <w:p>
      <w:pPr>
        <w:spacing w:line="560" w:lineRule="exact"/>
        <w:ind w:firstLine="640" w:firstLineChars="200"/>
        <w:rPr>
          <w:rFonts w:eastAsia="仿宋_GB2312"/>
          <w:color w:val="000000"/>
          <w:kern w:val="0"/>
          <w:sz w:val="32"/>
          <w:szCs w:val="32"/>
        </w:rPr>
      </w:pP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第一条</w:t>
      </w:r>
      <w:r>
        <w:rPr>
          <w:rFonts w:hint="eastAsia" w:ascii="楷体_GB2312" w:eastAsia="楷体_GB2312"/>
          <w:color w:val="000000"/>
          <w:kern w:val="0"/>
          <w:sz w:val="32"/>
          <w:szCs w:val="32"/>
        </w:rPr>
        <w:t xml:space="preserve">  </w:t>
      </w:r>
      <w:r>
        <w:rPr>
          <w:rFonts w:hint="eastAsia" w:eastAsia="仿宋_GB2312"/>
          <w:color w:val="000000"/>
          <w:kern w:val="0"/>
          <w:sz w:val="32"/>
          <w:szCs w:val="32"/>
        </w:rPr>
        <w:t>为保护江布拉克景区（以下简称景区）资源，加强景区管理，保护景区人文环境、生态环境、资源环境，规范并促进景区旅游业持续健康发展，根据有关法律、法规，结合景区实际，制定本条例。</w:t>
      </w:r>
    </w:p>
    <w:p>
      <w:pPr>
        <w:spacing w:line="560" w:lineRule="exact"/>
        <w:ind w:firstLine="640" w:firstLineChars="200"/>
        <w:rPr>
          <w:rFonts w:hint="eastAsia" w:eastAsia="仿宋_GB2312"/>
          <w:color w:val="000000"/>
          <w:kern w:val="0"/>
          <w:sz w:val="32"/>
          <w:szCs w:val="32"/>
        </w:rPr>
      </w:pPr>
      <w:r>
        <w:rPr>
          <w:rFonts w:hint="eastAsia" w:ascii="黑体" w:hAnsi="黑体" w:eastAsia="黑体" w:cs="黑体"/>
          <w:color w:val="000000"/>
          <w:kern w:val="0"/>
          <w:sz w:val="32"/>
          <w:szCs w:val="32"/>
        </w:rPr>
        <w:t>第二条</w:t>
      </w:r>
      <w:r>
        <w:rPr>
          <w:rFonts w:hint="eastAsia" w:eastAsia="仿宋_GB2312"/>
          <w:color w:val="000000"/>
          <w:kern w:val="0"/>
          <w:sz w:val="32"/>
          <w:szCs w:val="32"/>
        </w:rPr>
        <w:t xml:space="preserve">  本条例所称的景区，是指位于</w:t>
      </w:r>
      <w:r>
        <w:fldChar w:fldCharType="begin"/>
      </w:r>
      <w:r>
        <w:instrText xml:space="preserve"> HYPERLINK "https://baike.so.com/doc/5329548-5564721.html" \t "https://baike.so.com/doc/_blank" </w:instrText>
      </w:r>
      <w:r>
        <w:fldChar w:fldCharType="separate"/>
      </w:r>
      <w:r>
        <w:rPr>
          <w:rFonts w:hint="eastAsia" w:eastAsia="仿宋_GB2312"/>
          <w:color w:val="000000"/>
          <w:kern w:val="0"/>
          <w:sz w:val="32"/>
          <w:szCs w:val="32"/>
        </w:rPr>
        <w:t>奇台县</w:t>
      </w:r>
      <w:r>
        <w:rPr>
          <w:rFonts w:hint="eastAsia" w:eastAsia="仿宋_GB2312"/>
          <w:color w:val="000000"/>
          <w:kern w:val="0"/>
          <w:sz w:val="32"/>
          <w:szCs w:val="32"/>
        </w:rPr>
        <w:fldChar w:fldCharType="end"/>
      </w:r>
      <w:r>
        <w:fldChar w:fldCharType="begin"/>
      </w:r>
      <w:r>
        <w:instrText xml:space="preserve"> HYPERLINK "https://baike.so.com/doc/6380317-6593966.html" \t "https://baike.so.com/doc/_blank" </w:instrText>
      </w:r>
      <w:r>
        <w:fldChar w:fldCharType="separate"/>
      </w:r>
      <w:r>
        <w:rPr>
          <w:rFonts w:hint="eastAsia" w:eastAsia="仿宋_GB2312"/>
          <w:color w:val="000000"/>
          <w:kern w:val="0"/>
          <w:sz w:val="32"/>
          <w:szCs w:val="32"/>
        </w:rPr>
        <w:t>半截沟镇</w:t>
      </w:r>
      <w:r>
        <w:rPr>
          <w:rFonts w:hint="eastAsia" w:eastAsia="仿宋_GB2312"/>
          <w:color w:val="000000"/>
          <w:kern w:val="0"/>
          <w:sz w:val="32"/>
          <w:szCs w:val="32"/>
        </w:rPr>
        <w:fldChar w:fldCharType="end"/>
      </w:r>
      <w:r>
        <w:rPr>
          <w:rFonts w:hint="eastAsia" w:eastAsia="仿宋_GB2312"/>
          <w:color w:val="000000"/>
          <w:kern w:val="0"/>
          <w:sz w:val="32"/>
          <w:szCs w:val="32"/>
        </w:rPr>
        <w:t xml:space="preserve">南部山区，包括汉疏勒古城、万亩旱田、天山怪坡、花海子、大峡谷、三道编子、黑涝坝等，因自然和人为因素形成的适宜参观游览、休闲度假、康乐健身等旅游需求和旅游服务的区域。  </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景区的规划、建设、保护、利用和监督管理等活动适用本条例。</w:t>
      </w:r>
      <w:r>
        <w:rPr>
          <w:rFonts w:eastAsia="仿宋_GB2312"/>
          <w:color w:val="000000"/>
          <w:kern w:val="0"/>
          <w:sz w:val="32"/>
          <w:szCs w:val="32"/>
        </w:rPr>
        <w:t xml:space="preserve">  </w:t>
      </w:r>
    </w:p>
    <w:p>
      <w:pPr>
        <w:spacing w:line="560" w:lineRule="exact"/>
        <w:ind w:firstLine="640" w:firstLineChars="200"/>
        <w:rPr>
          <w:rFonts w:eastAsia="仿宋_GB2312"/>
          <w:color w:val="000000"/>
          <w:kern w:val="0"/>
          <w:sz w:val="32"/>
          <w:szCs w:val="32"/>
        </w:rPr>
      </w:pPr>
      <w:r>
        <w:rPr>
          <w:rFonts w:hint="eastAsia" w:ascii="黑体" w:hAnsi="黑体" w:eastAsia="黑体" w:cs="黑体"/>
          <w:bCs/>
          <w:color w:val="000000"/>
          <w:kern w:val="0"/>
          <w:sz w:val="32"/>
          <w:szCs w:val="32"/>
        </w:rPr>
        <w:t>第三条</w:t>
      </w:r>
      <w:r>
        <w:rPr>
          <w:rFonts w:hint="eastAsia" w:ascii="楷体_GB2312" w:eastAsia="楷体_GB2312"/>
          <w:bCs/>
          <w:color w:val="000000"/>
          <w:kern w:val="0"/>
          <w:sz w:val="32"/>
          <w:szCs w:val="32"/>
        </w:rPr>
        <w:t xml:space="preserve">  </w:t>
      </w:r>
      <w:r>
        <w:rPr>
          <w:rFonts w:hint="eastAsia" w:eastAsia="仿宋_GB2312"/>
          <w:color w:val="000000"/>
          <w:kern w:val="0"/>
          <w:sz w:val="32"/>
          <w:szCs w:val="32"/>
        </w:rPr>
        <w:t>景区的范围为依法批准的</w:t>
      </w:r>
      <w:r>
        <w:rPr>
          <w:rFonts w:hint="eastAsia" w:ascii="仿宋_GB2312" w:eastAsia="仿宋_GB2312"/>
          <w:color w:val="000000"/>
          <w:sz w:val="32"/>
          <w:szCs w:val="32"/>
        </w:rPr>
        <w:t>《奇台县城乡总体规划》</w:t>
      </w:r>
      <w:r>
        <w:rPr>
          <w:rFonts w:hint="eastAsia" w:eastAsia="仿宋_GB2312"/>
          <w:color w:val="000000"/>
          <w:kern w:val="0"/>
          <w:sz w:val="32"/>
          <w:szCs w:val="32"/>
        </w:rPr>
        <w:t>（以下简称总体规划）确定的范围。</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第四条</w:t>
      </w:r>
      <w:r>
        <w:rPr>
          <w:rFonts w:ascii="楷体_GB2312" w:eastAsia="楷体_GB2312"/>
          <w:b/>
          <w:color w:val="000000"/>
          <w:kern w:val="0"/>
          <w:sz w:val="32"/>
          <w:szCs w:val="32"/>
        </w:rPr>
        <w:t xml:space="preserve">  </w:t>
      </w:r>
      <w:r>
        <w:rPr>
          <w:rFonts w:hint="eastAsia" w:eastAsia="仿宋_GB2312"/>
          <w:color w:val="000000"/>
          <w:kern w:val="0"/>
          <w:sz w:val="32"/>
          <w:szCs w:val="32"/>
        </w:rPr>
        <w:t>景区实行科学规划、严格保护、统一管理、永续利用、协调发展的原则。</w:t>
      </w:r>
      <w:r>
        <w:rPr>
          <w:rFonts w:eastAsia="仿宋_GB2312"/>
          <w:color w:val="000000"/>
          <w:kern w:val="0"/>
          <w:sz w:val="32"/>
          <w:szCs w:val="32"/>
        </w:rPr>
        <w:t xml:space="preserve">  </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 xml:space="preserve">第五条  </w:t>
      </w:r>
      <w:r>
        <w:rPr>
          <w:rFonts w:hint="eastAsia" w:eastAsia="仿宋_GB2312"/>
          <w:color w:val="000000"/>
          <w:kern w:val="0"/>
          <w:sz w:val="32"/>
          <w:szCs w:val="32"/>
        </w:rPr>
        <w:t>奇台县人民政府对景区的保护管理实行统一领导。具体工作由其设立的景区管理委员会（以下简称景区管委会）负责。</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奇台县规划、建设、国土、环保、林业、农业、畜牧、水利、旅游等有关主管部门以及景区所在地的乡镇人民政府按照各自法定职责，协同景区管委会开展景区保护管理的相关工作。</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第六条</w:t>
      </w:r>
      <w:r>
        <w:rPr>
          <w:rFonts w:ascii="楷体_GB2312" w:eastAsia="楷体_GB2312"/>
          <w:bCs/>
          <w:color w:val="000000"/>
          <w:kern w:val="0"/>
          <w:sz w:val="32"/>
          <w:szCs w:val="32"/>
        </w:rPr>
        <w:t xml:space="preserve">  </w:t>
      </w:r>
      <w:r>
        <w:rPr>
          <w:rFonts w:hint="eastAsia" w:eastAsia="仿宋_GB2312"/>
          <w:color w:val="000000"/>
          <w:kern w:val="0"/>
          <w:sz w:val="32"/>
          <w:szCs w:val="32"/>
        </w:rPr>
        <w:t>景区管委会应当履行下列职责：</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（一）依法保护景区自然资源及生态环境；</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（二）组织和实施景区专项保护规划或详细规划；</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（三）制定并组织实施景区各项保护管理制度</w:t>
      </w:r>
      <w:r>
        <w:rPr>
          <w:rFonts w:eastAsia="仿宋_GB2312"/>
          <w:color w:val="000000"/>
          <w:kern w:val="0"/>
          <w:sz w:val="32"/>
          <w:szCs w:val="32"/>
        </w:rPr>
        <w:t>,</w:t>
      </w:r>
      <w:r>
        <w:rPr>
          <w:rFonts w:hint="eastAsia" w:eastAsia="仿宋_GB2312"/>
          <w:color w:val="000000"/>
          <w:kern w:val="0"/>
          <w:sz w:val="32"/>
          <w:szCs w:val="32"/>
        </w:rPr>
        <w:t>负责景区内环境卫生、服务业等监督管理；</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（四）加强景区基础设施和其他公共设施的建设、维护和管理，改善游览条件，为游客提供优质服务；</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（五）负责景区内的和谐稳定、应急管理和安全生产监督管理工作，维护景区正常秩序，保障游客人身和财产安全；</w:t>
      </w:r>
    </w:p>
    <w:p>
      <w:pPr>
        <w:spacing w:line="560" w:lineRule="exact"/>
        <w:ind w:firstLine="640" w:firstLineChars="200"/>
        <w:rPr>
          <w:rFonts w:hint="eastAsia" w:eastAsia="仿宋_GB2312"/>
          <w:color w:val="000000"/>
          <w:kern w:val="0"/>
          <w:sz w:val="32"/>
          <w:szCs w:val="32"/>
        </w:rPr>
      </w:pPr>
      <w:r>
        <w:rPr>
          <w:rFonts w:hint="eastAsia" w:eastAsia="仿宋_GB2312"/>
          <w:color w:val="000000"/>
          <w:kern w:val="0"/>
          <w:sz w:val="32"/>
          <w:szCs w:val="32"/>
        </w:rPr>
        <w:t>（六）奇台县人民政府和有关部门依法委托行使的其他职责。</w:t>
      </w:r>
    </w:p>
    <w:p>
      <w:pPr>
        <w:spacing w:line="560" w:lineRule="exact"/>
        <w:ind w:firstLine="640" w:firstLineChars="200"/>
        <w:rPr>
          <w:rFonts w:hint="eastAsia" w:eastAsia="仿宋_GB2312"/>
          <w:color w:val="000000"/>
          <w:kern w:val="0"/>
          <w:sz w:val="32"/>
          <w:szCs w:val="32"/>
        </w:rPr>
      </w:pPr>
      <w:r>
        <w:rPr>
          <w:rFonts w:hint="eastAsia" w:eastAsia="仿宋_GB2312"/>
          <w:color w:val="000000"/>
          <w:kern w:val="0"/>
          <w:sz w:val="32"/>
          <w:szCs w:val="32"/>
        </w:rPr>
        <w:t>奇台县人民政府依照国家有关规定，组织有关主管部门协同江布拉克景区管委会在景区开展联合执法，依法及时查处在景区内实施的违法行为。相关主管部门在景区行使的行政处罚权，可以由江布拉克景区管委会相对集中行使。</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第七条</w:t>
      </w:r>
      <w:r>
        <w:rPr>
          <w:rFonts w:ascii="楷体_GB2312" w:eastAsia="楷体_GB2312"/>
          <w:b/>
          <w:color w:val="000000"/>
          <w:kern w:val="0"/>
          <w:sz w:val="32"/>
          <w:szCs w:val="32"/>
        </w:rPr>
        <w:t xml:space="preserve">  </w:t>
      </w:r>
      <w:r>
        <w:rPr>
          <w:rFonts w:hint="eastAsia" w:eastAsia="仿宋_GB2312"/>
          <w:color w:val="000000"/>
          <w:kern w:val="0"/>
          <w:sz w:val="32"/>
          <w:szCs w:val="32"/>
        </w:rPr>
        <w:t>任何单位和个人都有保护景区资源和环境的义务，并有权制止、检举破坏景区资源和环境的行为。</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对景区保护、管理做出重要贡献的单位和个人，由奇台县人民政府或景区管委会给予表彰和奖励。</w:t>
      </w:r>
    </w:p>
    <w:p>
      <w:pPr>
        <w:spacing w:line="560" w:lineRule="exact"/>
        <w:ind w:firstLine="640" w:firstLineChars="200"/>
        <w:jc w:val="center"/>
        <w:rPr>
          <w:rFonts w:eastAsia="仿宋_GB2312"/>
          <w:color w:val="000000"/>
          <w:kern w:val="0"/>
          <w:sz w:val="32"/>
          <w:szCs w:val="32"/>
        </w:rPr>
      </w:pPr>
    </w:p>
    <w:p>
      <w:pPr>
        <w:spacing w:line="560" w:lineRule="exact"/>
        <w:jc w:val="center"/>
        <w:rPr>
          <w:rFonts w:ascii="黑体" w:eastAsia="黑体"/>
          <w:color w:val="000000"/>
          <w:kern w:val="0"/>
          <w:sz w:val="32"/>
          <w:szCs w:val="32"/>
        </w:rPr>
      </w:pPr>
      <w:r>
        <w:rPr>
          <w:rFonts w:hint="eastAsia" w:ascii="黑体" w:eastAsia="黑体"/>
          <w:color w:val="000000"/>
          <w:kern w:val="0"/>
          <w:sz w:val="32"/>
          <w:szCs w:val="32"/>
        </w:rPr>
        <w:t>第二章</w:t>
      </w:r>
      <w:r>
        <w:rPr>
          <w:rFonts w:ascii="黑体" w:eastAsia="黑体"/>
          <w:color w:val="000000"/>
          <w:kern w:val="0"/>
          <w:sz w:val="32"/>
          <w:szCs w:val="32"/>
        </w:rPr>
        <w:t xml:space="preserve">  </w:t>
      </w:r>
      <w:r>
        <w:rPr>
          <w:rFonts w:hint="eastAsia" w:ascii="黑体" w:eastAsia="黑体"/>
          <w:color w:val="000000"/>
          <w:kern w:val="0"/>
          <w:sz w:val="32"/>
          <w:szCs w:val="32"/>
        </w:rPr>
        <w:t>规划建设</w:t>
      </w:r>
    </w:p>
    <w:p>
      <w:pPr>
        <w:spacing w:line="560" w:lineRule="exact"/>
        <w:ind w:firstLine="640" w:firstLineChars="200"/>
        <w:rPr>
          <w:rFonts w:eastAsia="仿宋_GB2312"/>
          <w:color w:val="000000"/>
          <w:kern w:val="0"/>
          <w:sz w:val="32"/>
          <w:szCs w:val="32"/>
        </w:rPr>
      </w:pPr>
    </w:p>
    <w:p>
      <w:pPr>
        <w:spacing w:line="560" w:lineRule="exact"/>
        <w:ind w:firstLine="640" w:firstLineChars="200"/>
        <w:rPr>
          <w:rFonts w:hint="eastAsia" w:eastAsia="仿宋_GB2312"/>
          <w:color w:val="000000"/>
          <w:kern w:val="0"/>
          <w:sz w:val="32"/>
          <w:szCs w:val="32"/>
        </w:rPr>
      </w:pPr>
      <w:r>
        <w:rPr>
          <w:rFonts w:hint="eastAsia" w:ascii="黑体" w:hAnsi="黑体" w:eastAsia="黑体" w:cs="黑体"/>
          <w:color w:val="000000"/>
          <w:kern w:val="0"/>
          <w:sz w:val="32"/>
          <w:szCs w:val="32"/>
        </w:rPr>
        <w:t>第八条</w:t>
      </w:r>
      <w:r>
        <w:rPr>
          <w:rFonts w:hint="eastAsia" w:ascii="楷体_GB2312" w:eastAsia="楷体_GB2312"/>
          <w:bCs/>
          <w:color w:val="000000"/>
          <w:kern w:val="0"/>
          <w:sz w:val="32"/>
          <w:szCs w:val="32"/>
        </w:rPr>
        <w:t xml:space="preserve">  </w:t>
      </w:r>
      <w:r>
        <w:rPr>
          <w:rFonts w:hint="eastAsia" w:eastAsia="仿宋_GB2312"/>
          <w:color w:val="000000"/>
          <w:kern w:val="0"/>
          <w:sz w:val="32"/>
          <w:szCs w:val="32"/>
        </w:rPr>
        <w:t>景区专项保护规划或详细规划由奇台县人民政府组织编制，经自治州人民政府批准后实施。</w:t>
      </w:r>
    </w:p>
    <w:p>
      <w:pPr>
        <w:spacing w:line="560" w:lineRule="exact"/>
        <w:ind w:firstLine="640" w:firstLineChars="200"/>
        <w:rPr>
          <w:rFonts w:hint="eastAsia" w:ascii="黑体" w:hAnsi="黑体" w:eastAsia="黑体" w:cs="黑体"/>
          <w:color w:val="000000"/>
          <w:kern w:val="0"/>
          <w:sz w:val="32"/>
          <w:szCs w:val="32"/>
        </w:rPr>
      </w:pPr>
      <w:r>
        <w:rPr>
          <w:rFonts w:hint="eastAsia" w:eastAsia="仿宋_GB2312"/>
          <w:color w:val="000000"/>
          <w:kern w:val="0"/>
          <w:sz w:val="32"/>
          <w:szCs w:val="32"/>
        </w:rPr>
        <w:t>专项保护规划或详细规划应当纳入城乡规划进行管理。</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依法批准的专项保护规划或详细规划不得擅自改变。</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第九条</w:t>
      </w:r>
      <w:r>
        <w:rPr>
          <w:rFonts w:ascii="楷体_GB2312" w:eastAsia="楷体_GB2312"/>
          <w:b/>
          <w:color w:val="000000"/>
          <w:kern w:val="0"/>
          <w:sz w:val="32"/>
          <w:szCs w:val="32"/>
        </w:rPr>
        <w:t xml:space="preserve">  </w:t>
      </w:r>
      <w:r>
        <w:rPr>
          <w:rFonts w:hint="eastAsia" w:eastAsia="仿宋_GB2312"/>
          <w:color w:val="000000"/>
          <w:kern w:val="0"/>
          <w:sz w:val="32"/>
          <w:szCs w:val="32"/>
        </w:rPr>
        <w:t>景区专项保护规划或详细规划经批准后，景区管委会应当向社会公布。</w:t>
      </w:r>
    </w:p>
    <w:p>
      <w:pPr>
        <w:spacing w:line="560" w:lineRule="exact"/>
        <w:ind w:firstLine="640" w:firstLineChars="200"/>
        <w:rPr>
          <w:rFonts w:hint="eastAsia" w:eastAsia="仿宋_GB2312"/>
          <w:color w:val="000000"/>
          <w:kern w:val="0"/>
          <w:sz w:val="32"/>
          <w:szCs w:val="32"/>
        </w:rPr>
      </w:pPr>
      <w:r>
        <w:rPr>
          <w:rFonts w:hint="eastAsia" w:ascii="黑体" w:hAnsi="黑体" w:eastAsia="黑体" w:cs="黑体"/>
          <w:color w:val="000000"/>
          <w:kern w:val="0"/>
          <w:sz w:val="32"/>
          <w:szCs w:val="32"/>
        </w:rPr>
        <w:t xml:space="preserve">第十条  </w:t>
      </w:r>
      <w:r>
        <w:rPr>
          <w:rFonts w:hint="eastAsia" w:eastAsia="仿宋_GB2312"/>
          <w:color w:val="000000"/>
          <w:kern w:val="0"/>
          <w:sz w:val="32"/>
          <w:szCs w:val="32"/>
        </w:rPr>
        <w:t>奇台县人民政府应当督促景区管委会实施专项保护规划或详细规划，协调处理规划实施中的重大事宜。</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景区内的单位和个人应当服从规划管理。任何单位和个人不得违反景区规划从事各类建设、生产和经营活动。</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对不符合景区规划，妨害安全或者有碍景区的原有建筑物、构筑物，奇台县人民政府应当依法采取措施限期拆除或者迁出。</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第十一条</w:t>
      </w:r>
      <w:r>
        <w:rPr>
          <w:rFonts w:ascii="楷体_GB2312" w:eastAsia="楷体_GB2312"/>
          <w:b/>
          <w:color w:val="000000"/>
          <w:kern w:val="0"/>
          <w:sz w:val="32"/>
          <w:szCs w:val="32"/>
        </w:rPr>
        <w:t xml:space="preserve">  </w:t>
      </w:r>
      <w:r>
        <w:rPr>
          <w:rFonts w:hint="eastAsia" w:eastAsia="仿宋_GB2312"/>
          <w:color w:val="000000"/>
          <w:kern w:val="0"/>
          <w:sz w:val="32"/>
          <w:szCs w:val="32"/>
        </w:rPr>
        <w:t>景区内的建设项目应当以景区规划为依据，其选址、规模、风格和色彩等应当与周边景观与环境相协调，废水、废气、废物等处理和防火设施应当同时设计、同时施工、同时使用。</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在景区内实施建设项目的建设单位、施工单位应当制定污染防治和水土保持方案，并采取有效措施，保护好周围景物、水体、林木草原、野生动物资源和地形地貌。建设项目完工后，应当及时清场、绿化，恢复环境原貌。</w:t>
      </w:r>
    </w:p>
    <w:p>
      <w:pPr>
        <w:spacing w:line="560" w:lineRule="exact"/>
        <w:ind w:firstLine="640" w:firstLineChars="200"/>
        <w:rPr>
          <w:rFonts w:hint="eastAsia" w:eastAsia="仿宋_GB2312"/>
          <w:color w:val="000000"/>
          <w:kern w:val="0"/>
          <w:sz w:val="32"/>
          <w:szCs w:val="32"/>
        </w:rPr>
      </w:pPr>
      <w:r>
        <w:rPr>
          <w:rFonts w:hint="eastAsia" w:ascii="黑体" w:hAnsi="黑体" w:eastAsia="黑体" w:cs="黑体"/>
          <w:color w:val="000000"/>
          <w:kern w:val="0"/>
          <w:sz w:val="32"/>
          <w:szCs w:val="32"/>
        </w:rPr>
        <w:t>第十二条</w:t>
      </w:r>
      <w:r>
        <w:rPr>
          <w:rFonts w:hint="eastAsia" w:eastAsia="仿宋_GB2312"/>
          <w:color w:val="000000"/>
          <w:kern w:val="0"/>
          <w:sz w:val="32"/>
          <w:szCs w:val="32"/>
        </w:rPr>
        <w:t xml:space="preserve">  景区管委会应当加强对景区内道路、通信、供水、排水、供电、供暖等基础设施建设，改善交通、服务设施和游览条件。</w:t>
      </w:r>
    </w:p>
    <w:p>
      <w:pPr>
        <w:spacing w:line="560" w:lineRule="exact"/>
        <w:ind w:firstLine="640" w:firstLineChars="200"/>
        <w:rPr>
          <w:rFonts w:hint="eastAsia" w:ascii="黑体" w:eastAsia="黑体"/>
          <w:color w:val="000000"/>
          <w:kern w:val="0"/>
          <w:sz w:val="32"/>
          <w:szCs w:val="32"/>
        </w:rPr>
      </w:pPr>
    </w:p>
    <w:p>
      <w:pPr>
        <w:spacing w:line="560" w:lineRule="exact"/>
        <w:jc w:val="center"/>
        <w:rPr>
          <w:rFonts w:ascii="黑体" w:eastAsia="黑体"/>
          <w:color w:val="000000"/>
          <w:kern w:val="0"/>
          <w:sz w:val="32"/>
          <w:szCs w:val="32"/>
        </w:rPr>
      </w:pPr>
      <w:r>
        <w:rPr>
          <w:rFonts w:hint="eastAsia" w:ascii="黑体" w:eastAsia="黑体"/>
          <w:color w:val="000000"/>
          <w:kern w:val="0"/>
          <w:sz w:val="32"/>
          <w:szCs w:val="32"/>
        </w:rPr>
        <w:t>第三章</w:t>
      </w:r>
      <w:r>
        <w:rPr>
          <w:rFonts w:ascii="黑体" w:eastAsia="黑体"/>
          <w:color w:val="000000"/>
          <w:kern w:val="0"/>
          <w:sz w:val="32"/>
          <w:szCs w:val="32"/>
        </w:rPr>
        <w:t xml:space="preserve">  </w:t>
      </w:r>
      <w:r>
        <w:rPr>
          <w:rFonts w:hint="eastAsia" w:ascii="黑体" w:eastAsia="黑体"/>
          <w:color w:val="000000"/>
          <w:kern w:val="0"/>
          <w:sz w:val="32"/>
          <w:szCs w:val="32"/>
        </w:rPr>
        <w:t>保护管理</w:t>
      </w:r>
    </w:p>
    <w:p>
      <w:pPr>
        <w:spacing w:line="560" w:lineRule="exact"/>
        <w:ind w:firstLine="640" w:firstLineChars="200"/>
        <w:rPr>
          <w:rFonts w:eastAsia="仿宋_GB2312"/>
          <w:color w:val="000000"/>
          <w:kern w:val="0"/>
          <w:sz w:val="32"/>
          <w:szCs w:val="32"/>
        </w:rPr>
      </w:pP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第十三条</w:t>
      </w:r>
      <w:r>
        <w:rPr>
          <w:rFonts w:ascii="宋体" w:hAnsi="宋体"/>
          <w:b/>
          <w:color w:val="000000"/>
          <w:kern w:val="0"/>
          <w:sz w:val="32"/>
          <w:szCs w:val="32"/>
        </w:rPr>
        <w:t xml:space="preserve">  </w:t>
      </w:r>
      <w:r>
        <w:rPr>
          <w:rFonts w:hint="eastAsia" w:eastAsia="仿宋_GB2312"/>
          <w:color w:val="000000"/>
          <w:kern w:val="0"/>
          <w:sz w:val="32"/>
          <w:szCs w:val="32"/>
        </w:rPr>
        <w:t>奇台县人民政府应当组织景区管委会及有关部门，制定实施景区内生态环境保护、资源保护、旅游开发、生态移民等专项计划，建立健全景区资源和自然生态环境保护制度。严格保护景区内水体、古迹遗址、林木草原、野生动物等景观和生态环境。</w:t>
      </w:r>
      <w:r>
        <w:rPr>
          <w:rFonts w:eastAsia="仿宋_GB2312"/>
          <w:color w:val="000000"/>
          <w:kern w:val="0"/>
          <w:sz w:val="32"/>
          <w:szCs w:val="32"/>
        </w:rPr>
        <w:t xml:space="preserve">  </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第十四条</w:t>
      </w:r>
      <w:r>
        <w:rPr>
          <w:rFonts w:ascii="楷体_GB2312" w:hAnsi="宋体" w:eastAsia="楷体_GB2312"/>
          <w:b/>
          <w:color w:val="000000"/>
          <w:kern w:val="0"/>
          <w:sz w:val="32"/>
          <w:szCs w:val="32"/>
        </w:rPr>
        <w:t xml:space="preserve">  </w:t>
      </w:r>
      <w:r>
        <w:rPr>
          <w:rFonts w:hint="eastAsia" w:eastAsia="仿宋_GB2312"/>
          <w:color w:val="000000"/>
          <w:kern w:val="0"/>
          <w:sz w:val="32"/>
          <w:szCs w:val="32"/>
        </w:rPr>
        <w:t>景区管委会应当依法加强对景区内的林木抚育管理，不得擅自砍伐。做好植树绿化和防治病虫害工作，保护林木植被和物种生长条件。</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禁牧区由奇台县人民政府划定并公示，由景区管委会负责禁牧区草场管理</w:t>
      </w:r>
      <w:r>
        <w:rPr>
          <w:rFonts w:hint="eastAsia" w:ascii="黑体" w:hAnsi="黑体" w:eastAsia="黑体" w:cs="黑体"/>
          <w:color w:val="000000"/>
          <w:kern w:val="0"/>
          <w:sz w:val="32"/>
          <w:szCs w:val="32"/>
        </w:rPr>
        <w:t>，</w:t>
      </w:r>
      <w:r>
        <w:rPr>
          <w:rFonts w:hint="eastAsia" w:eastAsia="仿宋_GB2312"/>
          <w:color w:val="000000"/>
          <w:kern w:val="0"/>
          <w:sz w:val="32"/>
          <w:szCs w:val="32"/>
        </w:rPr>
        <w:t>禁牧区外应当保持草畜平衡，不得超过核定的载畜量。</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第十五条</w:t>
      </w:r>
      <w:r>
        <w:rPr>
          <w:rFonts w:ascii="楷体_GB2312" w:eastAsia="楷体_GB2312"/>
          <w:b/>
          <w:color w:val="000000"/>
          <w:kern w:val="0"/>
          <w:sz w:val="32"/>
          <w:szCs w:val="32"/>
        </w:rPr>
        <w:t xml:space="preserve">  </w:t>
      </w:r>
      <w:r>
        <w:rPr>
          <w:rFonts w:hint="eastAsia" w:eastAsia="仿宋_GB2312"/>
          <w:color w:val="000000"/>
          <w:kern w:val="0"/>
          <w:sz w:val="32"/>
          <w:szCs w:val="32"/>
        </w:rPr>
        <w:t>景区管委会应当引导景区内及周边居民发展具有地方特色的、无污染的种植、养殖和农林副产品加工业，鼓励其从事与景区相关的资源管护和旅游接待等活动。</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第十六条</w:t>
      </w:r>
      <w:r>
        <w:rPr>
          <w:rFonts w:eastAsia="仿宋_GB2312"/>
          <w:color w:val="000000"/>
          <w:kern w:val="0"/>
          <w:sz w:val="32"/>
          <w:szCs w:val="32"/>
        </w:rPr>
        <w:t xml:space="preserve">  </w:t>
      </w:r>
      <w:r>
        <w:rPr>
          <w:rFonts w:hint="eastAsia" w:eastAsia="仿宋_GB2312"/>
          <w:color w:val="000000"/>
          <w:kern w:val="0"/>
          <w:sz w:val="32"/>
          <w:szCs w:val="32"/>
        </w:rPr>
        <w:t>景区管委会应当建立健全事故处置、人员疏散、防火、防洪、防雷、地质灾害防治、特种设备事故应急预案等安全保障制度。依据景区规划，确定游览期限、游览区域的游客接纳量，确保游客游览安全和质量。</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景区管委会应当在景区内设置安全标识标牌，在险要部位设置安全设施和安全警示牌，建立应急救援队伍，健全防火组织、防火设施，并定期对交通、游览设施和特种设备进行安全检查和维护。</w:t>
      </w:r>
      <w:r>
        <w:rPr>
          <w:rFonts w:eastAsia="仿宋_GB2312"/>
          <w:color w:val="000000"/>
          <w:kern w:val="0"/>
          <w:sz w:val="32"/>
          <w:szCs w:val="32"/>
        </w:rPr>
        <w:t xml:space="preserve">  </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第十七条</w:t>
      </w:r>
      <w:r>
        <w:rPr>
          <w:rFonts w:ascii="楷体_GB2312" w:eastAsia="楷体_GB2312"/>
          <w:bCs/>
          <w:color w:val="000000"/>
          <w:kern w:val="0"/>
          <w:sz w:val="32"/>
          <w:szCs w:val="32"/>
        </w:rPr>
        <w:t xml:space="preserve">  </w:t>
      </w:r>
      <w:r>
        <w:rPr>
          <w:rFonts w:hint="eastAsia" w:eastAsia="仿宋_GB2312"/>
          <w:color w:val="000000"/>
          <w:kern w:val="0"/>
          <w:sz w:val="32"/>
          <w:szCs w:val="32"/>
        </w:rPr>
        <w:t>公民、法人或者其他组织在景区内开展有关活动依法应当取得行政许可的，可以直接向景区管委会提出申请，由景区管委会转送有关主管部门审批。</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第十八条</w:t>
      </w:r>
      <w:r>
        <w:rPr>
          <w:rFonts w:ascii="楷体_GB2312" w:eastAsia="楷体_GB2312"/>
          <w:b/>
          <w:color w:val="000000"/>
          <w:kern w:val="0"/>
          <w:sz w:val="32"/>
          <w:szCs w:val="32"/>
        </w:rPr>
        <w:t xml:space="preserve">  </w:t>
      </w:r>
      <w:r>
        <w:rPr>
          <w:rFonts w:hint="eastAsia" w:eastAsia="仿宋_GB2312"/>
          <w:color w:val="000000"/>
          <w:kern w:val="0"/>
          <w:sz w:val="32"/>
          <w:szCs w:val="32"/>
        </w:rPr>
        <w:t>景区管委会应当会同有关部门依照规划划定景区内商业网点，</w:t>
      </w:r>
      <w:r>
        <w:rPr>
          <w:rFonts w:eastAsia="仿宋_GB2312"/>
          <w:color w:val="000000"/>
          <w:kern w:val="0"/>
          <w:sz w:val="32"/>
          <w:szCs w:val="32"/>
        </w:rPr>
        <w:t xml:space="preserve">  </w:t>
      </w:r>
      <w:r>
        <w:rPr>
          <w:rFonts w:hint="eastAsia" w:eastAsia="仿宋_GB2312"/>
          <w:color w:val="000000"/>
          <w:kern w:val="0"/>
          <w:sz w:val="32"/>
          <w:szCs w:val="32"/>
        </w:rPr>
        <w:t>对景区内的旅游、交通、餐饮等商业经营项目，通过招标等公开、公平的竞争方式确定经营者。</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经营者应当在划定的商业网点区域内依法、文明经营。</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第十九条</w:t>
      </w:r>
      <w:r>
        <w:rPr>
          <w:rFonts w:eastAsia="仿宋_GB2312"/>
          <w:color w:val="000000"/>
          <w:kern w:val="0"/>
          <w:sz w:val="32"/>
          <w:szCs w:val="32"/>
        </w:rPr>
        <w:t xml:space="preserve">  </w:t>
      </w:r>
      <w:r>
        <w:rPr>
          <w:rFonts w:hint="eastAsia" w:eastAsia="仿宋_GB2312"/>
          <w:color w:val="000000"/>
          <w:kern w:val="0"/>
          <w:sz w:val="32"/>
          <w:szCs w:val="32"/>
        </w:rPr>
        <w:t>在景区内进行大型演出、影视拍摄或者从事勘察、探测等活动的，应当经景区管委会审核同意，并提交环境影响评价批复文件及生态保护方案。生态保护方案应当包括使用条件、范围、期限、保护事项、恢复义务、履约保证等内容。</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第二十条</w:t>
      </w:r>
      <w:r>
        <w:rPr>
          <w:rFonts w:eastAsia="仿宋_GB2312"/>
          <w:color w:val="000000"/>
          <w:kern w:val="0"/>
          <w:sz w:val="32"/>
          <w:szCs w:val="32"/>
        </w:rPr>
        <w:t xml:space="preserve">  </w:t>
      </w:r>
      <w:r>
        <w:rPr>
          <w:rFonts w:hint="eastAsia" w:eastAsia="仿宋_GB2312"/>
          <w:color w:val="000000"/>
          <w:kern w:val="0"/>
          <w:sz w:val="32"/>
          <w:szCs w:val="32"/>
        </w:rPr>
        <w:t>在景区内组织开展徒步、攀岩、登山等活动，应当事先向景区管委会告知活动方案、行走路线、人数等，并遵守景区内的各项管理制度。</w:t>
      </w:r>
    </w:p>
    <w:p>
      <w:pPr>
        <w:spacing w:line="560" w:lineRule="exact"/>
        <w:ind w:firstLine="640" w:firstLineChars="200"/>
        <w:rPr>
          <w:rFonts w:eastAsia="仿宋_GB2312"/>
          <w:color w:val="000000"/>
          <w:kern w:val="0"/>
          <w:sz w:val="32"/>
          <w:szCs w:val="32"/>
        </w:rPr>
      </w:pPr>
      <w:r>
        <w:rPr>
          <w:rFonts w:hint="eastAsia" w:ascii="黑体" w:hAnsi="黑体" w:eastAsia="黑体" w:cs="黑体"/>
          <w:color w:val="000000"/>
          <w:kern w:val="0"/>
          <w:sz w:val="32"/>
          <w:szCs w:val="32"/>
        </w:rPr>
        <w:t>第二十一条</w:t>
      </w:r>
      <w:r>
        <w:rPr>
          <w:rFonts w:eastAsia="仿宋_GB2312"/>
          <w:color w:val="000000"/>
          <w:kern w:val="0"/>
          <w:sz w:val="32"/>
          <w:szCs w:val="32"/>
        </w:rPr>
        <w:t xml:space="preserve">  </w:t>
      </w:r>
      <w:r>
        <w:rPr>
          <w:rFonts w:hint="eastAsia" w:eastAsia="仿宋_GB2312"/>
          <w:color w:val="000000"/>
          <w:kern w:val="0"/>
          <w:sz w:val="32"/>
          <w:szCs w:val="32"/>
        </w:rPr>
        <w:t>在景区内禁止实施下列行为：</w:t>
      </w:r>
      <w:r>
        <w:rPr>
          <w:rFonts w:eastAsia="仿宋_GB2312"/>
          <w:color w:val="000000"/>
          <w:kern w:val="0"/>
          <w:sz w:val="32"/>
          <w:szCs w:val="32"/>
        </w:rPr>
        <w:t xml:space="preserve">  </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（一）擅自采折、采挖花草、树木、药材等植物；</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（二）刻划、污损树木、岩石和文物古迹</w:t>
      </w:r>
      <w:r>
        <w:rPr>
          <w:rFonts w:hint="eastAsia" w:ascii="黑体" w:hAnsi="黑体" w:eastAsia="黑体" w:cs="黑体"/>
          <w:color w:val="000000"/>
          <w:kern w:val="0"/>
          <w:sz w:val="32"/>
          <w:szCs w:val="32"/>
        </w:rPr>
        <w:t>，</w:t>
      </w:r>
      <w:r>
        <w:rPr>
          <w:rFonts w:hint="eastAsia" w:eastAsia="仿宋_GB2312"/>
          <w:color w:val="000000"/>
          <w:kern w:val="0"/>
          <w:sz w:val="32"/>
          <w:szCs w:val="32"/>
        </w:rPr>
        <w:t>践踏农作物及葬坟，损坏或者擅自移动景观、设施的行为及其他破坏景观、植被、生态的行为；</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（三）在非指定的吸烟区吸烟和在非指定区域用火、焚烧香蜡纸烛、燃放烟花爆竹及其他可能引起火灾的行为；</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（四）擅自摆摊设点、兜售物品、提供服务及其他破坏景区经营秩序的活动；</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（五）进入景区人员逃逸门票，车辆不按照规定的线路行驶、不在指定的地点停放等其他影响通行、安全及管理行为；</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（六）擅自围、填、堵、截自然水系；</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（七）未经处理直接排放生活污水和超标准的废水、废气，乱倒垃圾、废渣、废物及其他污染物；</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（八）法律、法规、规章禁止实施的其他行为。</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景区管委会应当通过标示牌、宣传单等形式将景区保护管理的注意事项予以公开告知。</w:t>
      </w:r>
    </w:p>
    <w:p>
      <w:pPr>
        <w:spacing w:line="560" w:lineRule="exact"/>
        <w:ind w:firstLine="640" w:firstLineChars="200"/>
        <w:jc w:val="center"/>
        <w:rPr>
          <w:rFonts w:hint="eastAsia" w:ascii="黑体" w:eastAsia="黑体"/>
          <w:color w:val="000000"/>
          <w:kern w:val="0"/>
          <w:sz w:val="32"/>
          <w:szCs w:val="32"/>
        </w:rPr>
      </w:pPr>
    </w:p>
    <w:p>
      <w:pPr>
        <w:spacing w:line="560" w:lineRule="exact"/>
        <w:jc w:val="center"/>
        <w:rPr>
          <w:rFonts w:ascii="黑体" w:eastAsia="黑体"/>
          <w:color w:val="000000"/>
          <w:kern w:val="0"/>
          <w:sz w:val="32"/>
          <w:szCs w:val="32"/>
        </w:rPr>
      </w:pPr>
      <w:r>
        <w:rPr>
          <w:rFonts w:hint="eastAsia" w:ascii="黑体" w:eastAsia="黑体"/>
          <w:color w:val="000000"/>
          <w:kern w:val="0"/>
          <w:sz w:val="32"/>
          <w:szCs w:val="32"/>
        </w:rPr>
        <w:t>第四章</w:t>
      </w:r>
      <w:r>
        <w:rPr>
          <w:rFonts w:ascii="黑体" w:eastAsia="黑体"/>
          <w:color w:val="000000"/>
          <w:kern w:val="0"/>
          <w:sz w:val="32"/>
          <w:szCs w:val="32"/>
        </w:rPr>
        <w:t xml:space="preserve">  </w:t>
      </w:r>
      <w:r>
        <w:rPr>
          <w:rFonts w:hint="eastAsia" w:ascii="黑体" w:eastAsia="黑体"/>
          <w:color w:val="000000"/>
          <w:kern w:val="0"/>
          <w:sz w:val="32"/>
          <w:szCs w:val="32"/>
        </w:rPr>
        <w:t>法律责任</w:t>
      </w:r>
    </w:p>
    <w:p>
      <w:pPr>
        <w:spacing w:line="560" w:lineRule="exact"/>
        <w:ind w:firstLine="640" w:firstLineChars="200"/>
        <w:rPr>
          <w:rFonts w:eastAsia="仿宋_GB2312"/>
          <w:color w:val="000000"/>
          <w:kern w:val="0"/>
          <w:sz w:val="32"/>
          <w:szCs w:val="32"/>
        </w:rPr>
      </w:pPr>
      <w:r>
        <w:rPr>
          <w:rFonts w:hint="eastAsia" w:eastAsia="仿宋_GB2312"/>
          <w:color w:val="000000"/>
          <w:kern w:val="0"/>
          <w:sz w:val="32"/>
          <w:szCs w:val="32"/>
        </w:rPr>
        <w:t>　　</w:t>
      </w:r>
    </w:p>
    <w:p>
      <w:pPr>
        <w:spacing w:line="560" w:lineRule="exact"/>
        <w:ind w:firstLine="640" w:firstLineChars="200"/>
        <w:rPr>
          <w:rFonts w:eastAsia="仿宋_GB2312"/>
          <w:color w:val="000000"/>
          <w:kern w:val="0"/>
          <w:sz w:val="32"/>
          <w:szCs w:val="32"/>
        </w:rPr>
      </w:pPr>
      <w:r>
        <w:rPr>
          <w:rFonts w:hint="eastAsia" w:ascii="黑体" w:hAnsi="黑体" w:eastAsia="黑体" w:cs="黑体"/>
          <w:bCs/>
          <w:color w:val="000000"/>
          <w:kern w:val="0"/>
          <w:sz w:val="32"/>
          <w:szCs w:val="32"/>
        </w:rPr>
        <w:t>第二十二条</w:t>
      </w:r>
      <w:r>
        <w:rPr>
          <w:rFonts w:hint="eastAsia" w:ascii="黑体" w:hAnsi="黑体" w:eastAsia="黑体" w:cs="黑体"/>
          <w:color w:val="000000"/>
          <w:kern w:val="0"/>
          <w:sz w:val="32"/>
          <w:szCs w:val="32"/>
        </w:rPr>
        <w:t xml:space="preserve">  </w:t>
      </w:r>
      <w:r>
        <w:rPr>
          <w:rFonts w:hint="eastAsia" w:eastAsia="仿宋_GB2312"/>
          <w:color w:val="000000"/>
          <w:kern w:val="0"/>
          <w:sz w:val="32"/>
          <w:szCs w:val="32"/>
        </w:rPr>
        <w:t>违反本条例第十九条规定的，由景区管委会责令停止实施相关活动，限期恢复原状或者采取其他补救措施，没收违法所得，并处五万元以上十万元以下的罚款；情节严重的，并处十万元以上二十万元以下的罚款。</w:t>
      </w:r>
    </w:p>
    <w:p>
      <w:pPr>
        <w:spacing w:line="560" w:lineRule="exact"/>
        <w:ind w:firstLine="640" w:firstLineChars="200"/>
        <w:rPr>
          <w:rFonts w:eastAsia="仿宋_GB2312"/>
          <w:color w:val="000000"/>
          <w:kern w:val="0"/>
          <w:sz w:val="32"/>
          <w:szCs w:val="32"/>
        </w:rPr>
      </w:pPr>
      <w:r>
        <w:rPr>
          <w:rFonts w:hint="eastAsia" w:ascii="黑体" w:hAnsi="黑体" w:eastAsia="黑体" w:cs="黑体"/>
          <w:bCs/>
          <w:color w:val="000000"/>
          <w:kern w:val="0"/>
          <w:sz w:val="32"/>
          <w:szCs w:val="32"/>
        </w:rPr>
        <w:t>第二十三条</w:t>
      </w:r>
      <w:r>
        <w:rPr>
          <w:rFonts w:eastAsia="仿宋_GB2312"/>
          <w:bCs/>
          <w:color w:val="000000"/>
          <w:kern w:val="0"/>
          <w:sz w:val="32"/>
          <w:szCs w:val="32"/>
        </w:rPr>
        <w:t xml:space="preserve">  </w:t>
      </w:r>
      <w:r>
        <w:rPr>
          <w:rFonts w:hint="eastAsia" w:eastAsia="仿宋_GB2312"/>
          <w:color w:val="000000"/>
          <w:kern w:val="0"/>
          <w:sz w:val="32"/>
          <w:szCs w:val="32"/>
        </w:rPr>
        <w:t>违反本条例第二十一条规定情形之一的，由景区管委会批评责令改正、给予警告，并处二百元以上一千元以下的罚款；情节严重的，处于一千元以上一万元以下的罚款。</w:t>
      </w:r>
      <w:r>
        <w:rPr>
          <w:rFonts w:eastAsia="仿宋_GB2312"/>
          <w:color w:val="000000"/>
          <w:kern w:val="0"/>
          <w:sz w:val="32"/>
          <w:szCs w:val="32"/>
        </w:rPr>
        <w:t xml:space="preserve">  </w:t>
      </w:r>
    </w:p>
    <w:p>
      <w:pPr>
        <w:spacing w:line="560" w:lineRule="exact"/>
        <w:ind w:firstLine="640" w:firstLineChars="200"/>
        <w:rPr>
          <w:rFonts w:eastAsia="仿宋_GB2312"/>
          <w:color w:val="000000"/>
          <w:kern w:val="0"/>
          <w:sz w:val="32"/>
          <w:szCs w:val="32"/>
        </w:rPr>
      </w:pPr>
      <w:r>
        <w:rPr>
          <w:rFonts w:hint="eastAsia" w:ascii="黑体" w:hAnsi="黑体" w:eastAsia="黑体" w:cs="黑体"/>
          <w:bCs/>
          <w:color w:val="000000"/>
          <w:kern w:val="0"/>
          <w:sz w:val="32"/>
          <w:szCs w:val="32"/>
        </w:rPr>
        <w:t>第二十四条</w:t>
      </w:r>
      <w:r>
        <w:rPr>
          <w:rFonts w:eastAsia="仿宋_GB2312"/>
          <w:bCs/>
          <w:color w:val="000000"/>
          <w:kern w:val="0"/>
          <w:sz w:val="32"/>
          <w:szCs w:val="32"/>
        </w:rPr>
        <w:t xml:space="preserve">  </w:t>
      </w:r>
      <w:r>
        <w:rPr>
          <w:rFonts w:hint="eastAsia" w:eastAsia="仿宋_GB2312"/>
          <w:color w:val="000000"/>
          <w:kern w:val="0"/>
          <w:sz w:val="32"/>
          <w:szCs w:val="32"/>
        </w:rPr>
        <w:t>景区管委会和负有景区管理职责的有关部门工作人员滥用职权、玩忽职守、徇私舞弊，尚不构成犯罪的，由其所在单位或者上级主管部门给予处分；构成犯罪的，依法追究刑事责任。</w:t>
      </w:r>
      <w:r>
        <w:rPr>
          <w:rFonts w:eastAsia="仿宋_GB2312"/>
          <w:color w:val="000000"/>
          <w:kern w:val="0"/>
          <w:sz w:val="32"/>
          <w:szCs w:val="32"/>
        </w:rPr>
        <w:t xml:space="preserve">  </w:t>
      </w:r>
    </w:p>
    <w:p>
      <w:pPr>
        <w:spacing w:line="560" w:lineRule="exact"/>
        <w:ind w:firstLine="640" w:firstLineChars="200"/>
        <w:rPr>
          <w:rFonts w:eastAsia="仿宋_GB2312"/>
          <w:color w:val="000000"/>
          <w:kern w:val="0"/>
          <w:sz w:val="32"/>
          <w:szCs w:val="32"/>
        </w:rPr>
      </w:pPr>
      <w:r>
        <w:rPr>
          <w:rFonts w:hint="eastAsia" w:ascii="黑体" w:hAnsi="黑体" w:eastAsia="黑体" w:cs="黑体"/>
          <w:bCs/>
          <w:color w:val="000000"/>
          <w:kern w:val="0"/>
          <w:sz w:val="32"/>
          <w:szCs w:val="32"/>
        </w:rPr>
        <w:t>第二十五条</w:t>
      </w:r>
      <w:r>
        <w:rPr>
          <w:rFonts w:eastAsia="仿宋_GB2312"/>
          <w:color w:val="000000"/>
          <w:kern w:val="0"/>
          <w:sz w:val="32"/>
          <w:szCs w:val="32"/>
        </w:rPr>
        <w:t xml:space="preserve">  </w:t>
      </w:r>
      <w:r>
        <w:rPr>
          <w:rFonts w:hint="eastAsia" w:eastAsia="仿宋_GB2312"/>
          <w:color w:val="000000"/>
          <w:kern w:val="0"/>
          <w:sz w:val="32"/>
          <w:szCs w:val="32"/>
        </w:rPr>
        <w:t>违反本条例规定，造成国家、集体或者个人财产损失的，不因当事人受到行政处罚或者处分而免除其应当依法承担的赔偿责任。</w:t>
      </w:r>
    </w:p>
    <w:p>
      <w:pPr>
        <w:spacing w:line="560" w:lineRule="exact"/>
        <w:ind w:firstLine="640" w:firstLineChars="200"/>
        <w:rPr>
          <w:rFonts w:eastAsia="仿宋_GB2312"/>
          <w:color w:val="000000"/>
          <w:kern w:val="0"/>
          <w:sz w:val="32"/>
          <w:szCs w:val="32"/>
        </w:rPr>
      </w:pPr>
      <w:r>
        <w:rPr>
          <w:rFonts w:hint="eastAsia" w:ascii="黑体" w:hAnsi="黑体" w:eastAsia="黑体" w:cs="黑体"/>
          <w:bCs/>
          <w:color w:val="000000"/>
          <w:kern w:val="0"/>
          <w:sz w:val="32"/>
          <w:szCs w:val="32"/>
        </w:rPr>
        <w:t>第二十六条</w:t>
      </w:r>
      <w:r>
        <w:rPr>
          <w:rFonts w:eastAsia="仿宋_GB2312"/>
          <w:color w:val="000000"/>
          <w:kern w:val="0"/>
          <w:sz w:val="32"/>
          <w:szCs w:val="32"/>
        </w:rPr>
        <w:t xml:space="preserve">  </w:t>
      </w:r>
      <w:r>
        <w:rPr>
          <w:rFonts w:hint="eastAsia" w:eastAsia="仿宋_GB2312"/>
          <w:color w:val="000000"/>
          <w:kern w:val="0"/>
          <w:sz w:val="32"/>
          <w:szCs w:val="32"/>
        </w:rPr>
        <w:t>违反本条例规定，应当承担法律责任的其他行为，依照有关法律、法规的规定执行。</w:t>
      </w:r>
    </w:p>
    <w:p>
      <w:pPr>
        <w:spacing w:line="560" w:lineRule="exact"/>
        <w:ind w:firstLine="640" w:firstLineChars="200"/>
        <w:jc w:val="center"/>
        <w:rPr>
          <w:rFonts w:hint="eastAsia" w:ascii="黑体" w:eastAsia="黑体"/>
          <w:color w:val="000000"/>
          <w:kern w:val="0"/>
          <w:sz w:val="32"/>
          <w:szCs w:val="32"/>
        </w:rPr>
      </w:pPr>
    </w:p>
    <w:p>
      <w:pPr>
        <w:spacing w:line="560" w:lineRule="exact"/>
        <w:jc w:val="center"/>
        <w:rPr>
          <w:rFonts w:ascii="黑体" w:eastAsia="黑体"/>
          <w:color w:val="000000"/>
          <w:kern w:val="0"/>
          <w:sz w:val="32"/>
          <w:szCs w:val="32"/>
        </w:rPr>
      </w:pPr>
      <w:r>
        <w:rPr>
          <w:rFonts w:hint="eastAsia" w:ascii="黑体" w:eastAsia="黑体"/>
          <w:color w:val="000000"/>
          <w:kern w:val="0"/>
          <w:sz w:val="32"/>
          <w:szCs w:val="32"/>
        </w:rPr>
        <w:t>第五章</w:t>
      </w:r>
      <w:r>
        <w:rPr>
          <w:rFonts w:ascii="黑体" w:eastAsia="黑体"/>
          <w:color w:val="000000"/>
          <w:kern w:val="0"/>
          <w:sz w:val="32"/>
          <w:szCs w:val="32"/>
        </w:rPr>
        <w:t xml:space="preserve">  </w:t>
      </w:r>
      <w:r>
        <w:rPr>
          <w:rFonts w:hint="eastAsia" w:ascii="黑体" w:eastAsia="黑体"/>
          <w:color w:val="000000"/>
          <w:kern w:val="0"/>
          <w:sz w:val="32"/>
          <w:szCs w:val="32"/>
        </w:rPr>
        <w:t>附  则</w:t>
      </w:r>
    </w:p>
    <w:p>
      <w:pPr>
        <w:spacing w:line="560" w:lineRule="exact"/>
        <w:ind w:firstLine="640" w:firstLineChars="200"/>
        <w:rPr>
          <w:rFonts w:eastAsia="仿宋_GB2312"/>
          <w:color w:val="000000"/>
          <w:kern w:val="0"/>
          <w:sz w:val="32"/>
          <w:szCs w:val="32"/>
        </w:rPr>
      </w:pPr>
    </w:p>
    <w:p>
      <w:pPr>
        <w:spacing w:line="560" w:lineRule="exact"/>
        <w:ind w:firstLine="640" w:firstLineChars="200"/>
        <w:rPr>
          <w:color w:val="000000"/>
        </w:rPr>
      </w:pPr>
      <w:r>
        <w:rPr>
          <w:rFonts w:hint="eastAsia" w:ascii="黑体" w:hAnsi="黑体" w:eastAsia="黑体" w:cs="黑体"/>
          <w:bCs/>
          <w:color w:val="000000"/>
          <w:kern w:val="0"/>
          <w:sz w:val="32"/>
          <w:szCs w:val="32"/>
        </w:rPr>
        <w:t>第二十七条</w:t>
      </w:r>
      <w:r>
        <w:rPr>
          <w:rFonts w:ascii="楷体_GB2312" w:eastAsia="楷体_GB2312"/>
          <w:b/>
          <w:color w:val="000000"/>
          <w:kern w:val="0"/>
          <w:sz w:val="32"/>
          <w:szCs w:val="32"/>
        </w:rPr>
        <w:t xml:space="preserve">  </w:t>
      </w:r>
      <w:r>
        <w:rPr>
          <w:rFonts w:hint="eastAsia" w:ascii="仿宋_GB2312" w:eastAsia="仿宋_GB2312"/>
          <w:color w:val="000000"/>
          <w:kern w:val="0"/>
          <w:sz w:val="32"/>
          <w:szCs w:val="32"/>
        </w:rPr>
        <w:t>本条例自2019年1月1日起施行。</w:t>
      </w: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pPr>
        <w:spacing w:line="560" w:lineRule="exact"/>
        <w:rPr>
          <w:rFonts w:hint="eastAsia" w:eastAsia="仿宋_GB2312"/>
          <w:kern w:val="0"/>
          <w:sz w:val="32"/>
          <w:szCs w:val="32"/>
        </w:rPr>
      </w:pPr>
    </w:p>
    <w:p/>
    <w:sectPr>
      <w:headerReference r:id="rId3" w:type="first"/>
      <w:footerReference r:id="rId5" w:type="first"/>
      <w:footerReference r:id="rId4" w:type="default"/>
      <w:pgSz w:w="11906" w:h="16838"/>
      <w:pgMar w:top="2098" w:right="1531" w:bottom="2098"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5643C"/>
    <w:rsid w:val="0015643C"/>
    <w:rsid w:val="00AA480B"/>
    <w:rsid w:val="7AC56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cs="宋体"/>
      <w:kern w:val="0"/>
      <w:sz w:val="24"/>
      <w:szCs w:val="24"/>
    </w:rPr>
  </w:style>
  <w:style w:type="character" w:customStyle="1" w:styleId="7">
    <w:name w:val="页脚 Char"/>
    <w:basedOn w:val="5"/>
    <w:link w:val="2"/>
    <w:uiPriority w:val="99"/>
    <w:rPr>
      <w:rFonts w:ascii="Times New Roman" w:hAnsi="Times New Roman" w:eastAsia="宋体" w:cs="Times New Roman"/>
      <w:sz w:val="18"/>
      <w:szCs w:val="18"/>
    </w:rPr>
  </w:style>
  <w:style w:type="paragraph" w:customStyle="1" w:styleId="8">
    <w:name w:val="p0"/>
    <w:basedOn w:val="1"/>
    <w:qFormat/>
    <w:uiPriority w:val="0"/>
    <w:pPr>
      <w:widowControl/>
    </w:pPr>
    <w:rPr>
      <w:rFonts w:hAnsi="Calibri"/>
      <w:kern w:val="0"/>
      <w:szCs w:val="21"/>
    </w:rPr>
  </w:style>
  <w:style w:type="paragraph" w:customStyle="1" w:styleId="9">
    <w:name w:val="p18"/>
    <w:basedOn w:val="1"/>
    <w:qFormat/>
    <w:uiPriority w:val="99"/>
    <w:pPr>
      <w:widowControl/>
    </w:pPr>
    <w:rPr>
      <w:rFonts w:cs="宋体"/>
      <w:kern w:val="0"/>
      <w:szCs w:val="21"/>
    </w:rPr>
  </w:style>
  <w:style w:type="paragraph" w:customStyle="1" w:styleId="10">
    <w:name w:val="p17"/>
    <w:basedOn w:val="1"/>
    <w:qFormat/>
    <w:uiPriority w:val="99"/>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519</Words>
  <Characters>2960</Characters>
  <Lines>24</Lines>
  <Paragraphs>6</Paragraphs>
  <TotalTime>0</TotalTime>
  <ScaleCrop>false</ScaleCrop>
  <LinksUpToDate>false</LinksUpToDate>
  <CharactersWithSpaces>3473</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2018-11-07T04:22:00Z</dcterms:created>
  <dc:creator>Z</dc:creator>
  <cp:lastModifiedBy>Administrator</cp:lastModifiedBy>
  <dcterms:modified xsi:type="dcterms:W3CDTF">2018-11-30T11:17:08Z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