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华文中宋" w:hAnsi="华文中宋" w:eastAsia="华文中宋" w:cs="华文中宋"/>
          <w:b/>
          <w:bCs/>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宋体" w:hAnsi="宋体" w:eastAsia="宋体" w:cs="宋体"/>
          <w:b w:val="0"/>
          <w:bCs w:val="0"/>
          <w:color w:val="auto"/>
          <w:sz w:val="44"/>
          <w:szCs w:val="44"/>
        </w:rPr>
      </w:pPr>
      <w:r>
        <w:rPr>
          <w:rFonts w:hint="eastAsia" w:ascii="宋体" w:hAnsi="宋体" w:eastAsia="宋体" w:cs="宋体"/>
          <w:b w:val="0"/>
          <w:bCs w:val="0"/>
          <w:color w:val="auto"/>
          <w:sz w:val="44"/>
          <w:szCs w:val="44"/>
        </w:rPr>
        <w:t>江西省社会信用条例</w:t>
      </w:r>
    </w:p>
    <w:p>
      <w:pPr>
        <w:keepNext w:val="0"/>
        <w:keepLines w:val="0"/>
        <w:pageBreakBefore w:val="0"/>
        <w:kinsoku/>
        <w:wordWrap/>
        <w:overflowPunct/>
        <w:topLinePunct w:val="0"/>
        <w:autoSpaceDE/>
        <w:autoSpaceDN/>
        <w:bidi w:val="0"/>
        <w:adjustRightInd/>
        <w:snapToGrid/>
        <w:spacing w:line="560" w:lineRule="exact"/>
        <w:jc w:val="both"/>
        <w:textAlignment w:val="auto"/>
        <w:rPr>
          <w:rFonts w:hint="eastAsia" w:ascii="宋体" w:hAnsi="宋体" w:eastAsia="宋体" w:cs="宋体"/>
          <w:b w:val="0"/>
          <w:bCs w:val="0"/>
          <w:color w:val="auto"/>
          <w:sz w:val="44"/>
          <w:szCs w:val="44"/>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（2021年11月19日江西省第十三届人民代表大会</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常务委员会第三十四次会议通过）</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目</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录</w:t>
      </w:r>
    </w:p>
    <w:p>
      <w:pPr>
        <w:keepNext w:val="0"/>
        <w:keepLines w:val="0"/>
        <w:pageBreakBefore w:val="0"/>
        <w:kinsoku/>
        <w:wordWrap/>
        <w:overflowPunct/>
        <w:topLinePunct w:val="0"/>
        <w:autoSpaceDE/>
        <w:autoSpaceDN/>
        <w:bidi w:val="0"/>
        <w:adjustRightInd/>
        <w:snapToGrid/>
        <w:spacing w:line="560" w:lineRule="exact"/>
        <w:jc w:val="center"/>
        <w:textAlignment w:val="auto"/>
        <w:rPr>
          <w:rFonts w:hint="eastAsia" w:ascii="楷体_GB2312" w:hAnsi="楷体_GB2312" w:eastAsia="楷体_GB2312" w:cs="楷体_GB2312"/>
          <w:color w:val="auto"/>
          <w:sz w:val="32"/>
          <w:szCs w:val="32"/>
        </w:rPr>
      </w:pP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第一章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总则</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第二章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社会信用信息管理</w:t>
      </w:r>
    </w:p>
    <w:p>
      <w:pPr>
        <w:keepNext w:val="0"/>
        <w:keepLines w:val="0"/>
        <w:pageBreakBefore w:val="0"/>
        <w:kinsoku/>
        <w:wordWrap/>
        <w:overflowPunct/>
        <w:topLinePunct w:val="0"/>
        <w:autoSpaceDE/>
        <w:autoSpaceDN/>
        <w:bidi w:val="0"/>
        <w:adjustRightInd/>
        <w:snapToGrid/>
        <w:spacing w:line="560" w:lineRule="exact"/>
        <w:textAlignment w:val="auto"/>
        <w:rPr>
          <w:rFonts w:hint="default" w:ascii="楷体_GB2312" w:hAnsi="楷体_GB2312" w:eastAsia="楷体_GB2312" w:cs="楷体_GB2312"/>
          <w:color w:val="auto"/>
          <w:sz w:val="32"/>
          <w:szCs w:val="32"/>
          <w:lang w:val="en-US" w:eastAsia="zh-CN"/>
        </w:rPr>
      </w:pPr>
      <w:r>
        <w:rPr>
          <w:rFonts w:hint="eastAsia" w:ascii="楷体_GB2312" w:hAnsi="楷体_GB2312" w:eastAsia="楷体_GB2312" w:cs="楷体_GB2312"/>
          <w:color w:val="auto"/>
          <w:sz w:val="32"/>
          <w:szCs w:val="32"/>
          <w:lang w:eastAsia="zh-CN"/>
        </w:rPr>
        <w:t>第三章</w:t>
      </w:r>
      <w:r>
        <w:rPr>
          <w:rFonts w:hint="eastAsia" w:ascii="楷体_GB2312" w:hAnsi="楷体_GB2312" w:eastAsia="楷体_GB2312" w:cs="楷体_GB2312"/>
          <w:color w:val="auto"/>
          <w:sz w:val="32"/>
          <w:szCs w:val="32"/>
          <w:lang w:val="en-US" w:eastAsia="zh-CN"/>
        </w:rPr>
        <w:t xml:space="preserve">  守信激励和失信惩戒</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第四章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信用主体权益保护</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第五章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社会信用环境建设</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第六章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法律责任</w:t>
      </w:r>
    </w:p>
    <w:p>
      <w:pPr>
        <w:keepNext w:val="0"/>
        <w:keepLines w:val="0"/>
        <w:pageBreakBefore w:val="0"/>
        <w:kinsoku/>
        <w:wordWrap/>
        <w:overflowPunct/>
        <w:topLinePunct w:val="0"/>
        <w:autoSpaceDE/>
        <w:autoSpaceDN/>
        <w:bidi w:val="0"/>
        <w:adjustRightInd/>
        <w:snapToGrid/>
        <w:spacing w:line="560" w:lineRule="exact"/>
        <w:textAlignment w:val="auto"/>
        <w:rPr>
          <w:rFonts w:hint="eastAsia" w:ascii="楷体_GB2312" w:hAnsi="楷体_GB2312" w:eastAsia="楷体_GB2312" w:cs="楷体_GB2312"/>
          <w:color w:val="auto"/>
          <w:sz w:val="32"/>
          <w:szCs w:val="32"/>
        </w:rPr>
      </w:pPr>
      <w:r>
        <w:rPr>
          <w:rFonts w:hint="eastAsia" w:ascii="楷体_GB2312" w:hAnsi="楷体_GB2312" w:eastAsia="楷体_GB2312" w:cs="楷体_GB2312"/>
          <w:color w:val="auto"/>
          <w:sz w:val="32"/>
          <w:szCs w:val="32"/>
        </w:rPr>
        <w:t>第</w:t>
      </w:r>
      <w:r>
        <w:rPr>
          <w:rFonts w:hint="eastAsia" w:ascii="楷体_GB2312" w:hAnsi="楷体_GB2312" w:eastAsia="楷体_GB2312" w:cs="楷体_GB2312"/>
          <w:color w:val="auto"/>
          <w:sz w:val="32"/>
          <w:szCs w:val="32"/>
          <w:lang w:eastAsia="zh-CN"/>
        </w:rPr>
        <w:t>七</w:t>
      </w:r>
      <w:r>
        <w:rPr>
          <w:rFonts w:hint="eastAsia" w:ascii="楷体_GB2312" w:hAnsi="楷体_GB2312" w:eastAsia="楷体_GB2312" w:cs="楷体_GB2312"/>
          <w:color w:val="auto"/>
          <w:sz w:val="32"/>
          <w:szCs w:val="32"/>
        </w:rPr>
        <w:t>章</w:t>
      </w:r>
      <w:r>
        <w:rPr>
          <w:rFonts w:hint="eastAsia" w:ascii="楷体_GB2312" w:hAnsi="楷体_GB2312" w:eastAsia="楷体_GB2312" w:cs="楷体_GB2312"/>
          <w:color w:val="auto"/>
          <w:sz w:val="32"/>
          <w:szCs w:val="32"/>
          <w:lang w:val="en-US" w:eastAsia="zh-CN"/>
        </w:rPr>
        <w:t xml:space="preserve">  </w:t>
      </w:r>
      <w:r>
        <w:rPr>
          <w:rFonts w:hint="eastAsia" w:ascii="楷体_GB2312" w:hAnsi="楷体_GB2312" w:eastAsia="楷体_GB2312" w:cs="楷体_GB2312"/>
          <w:color w:val="auto"/>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第一章</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总    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lang w:val="en-US" w:eastAsia="zh-CN"/>
        </w:rPr>
        <w:t xml:space="preserve"> </w:t>
      </w:r>
      <w:r>
        <w:rPr>
          <w:rFonts w:hint="eastAsia" w:ascii="仿宋_GB2312" w:hAnsi="仿宋_GB2312" w:eastAsia="黑体" w:cs="仿宋_GB2312"/>
          <w:b w:val="0"/>
          <w:i w:val="0"/>
          <w:sz w:val="32"/>
          <w:szCs w:val="32"/>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为了培育和践行社会主义核心价值观，规范社会信用管理和应用，维护信用主体合法权益，增强社会诚信意识，提高社会信用水平，根据有关法律、行政法规，结合本省实际，制定本条例。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黑体" w:cs="仿宋_GB2312"/>
          <w:b w:val="0"/>
          <w:i w:val="0"/>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本省行政区域内社会信用信息管理、守信激励与失信惩戒、信用主体权益保护、信用服务行业发展以及社会信用环境建设适用本条例。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法律、行政法规另有规定的，适用其规定。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本条例所称社会信用，是指具有民事行为能力的自然人和法人、非法人组织等信用主体，在社会和经济活动中履行法定义务和约定义务的行为和状态。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本条例所称社会信用信息，是指可用以识别、分析、判断信用主体社会信用的客观数据和资料。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社会信用工作应当遵循政府主导、社会共建、依法依规、保障权益的原则，坚持政务诚信、商务诚信、社会诚信和司法公信建设多领域推进。</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rPr>
        <w:t>社会信用信息的记录、采集、归集、共享、公示、查询和使用等活动，应当坚持合法、正当、客观、必要和诚信的原则，不得危害国家主权、安全和发展利益，不得侵犯公共安全和公共利益，不得泄露国家秘密、商业秘密和个人隐私。</w:t>
      </w:r>
      <w:r>
        <w:rPr>
          <w:rFonts w:hint="eastAsia" w:ascii="仿宋_GB2312" w:hAnsi="仿宋_GB2312" w:eastAsia="仿宋_GB2312" w:cs="仿宋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任何组织和个人不得以欺诈、窃取、利诱、胁迫、侵入计算机信息系统等非法手段采集社会信用信息。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加强对社会信用体系建设的领导，将社会信用体系建设纳入国民经济和社会发展规划，统筹推进本行政区域内社会信用体系建设工作，提供社会信用体系建设经费保障，协调解决社会信用体系建设重大问题，并将社会信用体系建设工作纳入政府目标责任制考核体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县级以上人民政府发展改革部门是社会信用主管部门，负责本行政区域内社会信用工作的综合协调和监督管理。其他有关部门按照各自职责，做好相关行业、领域的社会信用工作。</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本省社会信用信息管理系统依托本省公共信用信息平台，承担社会信用信息采集、应用和服务工作。</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省公共信用信息平台统一归口发布政策、公开信息、提供公共信用服务、支撑公共信用信息应用等。</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社会信用信息管理系统是采集、归集、整合社会信用信息，提供信用信息查询、公示、应用等信用服务的综合性系统。系统涵盖本省各级公共信用信息平台和信用门户网站以及与系统共享的各级行业信用信息平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广播、电视、报刊、网络等传统媒体及新媒体平台应当加强诚信宣传,普及社会信用知识，褒扬诚实守信的先进典型，营造良好的社会诚信氛围。</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xml:space="preserve">第二章 </w:t>
      </w: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rPr>
        <w:t>社会信用信息管理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社会信用信息包括公共信用信息和市场信用信息。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公共信用信息是指国家机关以及法律、法规授权的具有管理公共事务职能的组织等公共信用信息提供单位，在依法履行法定职责、提供公共服务过程中产生或者获取的信用信息。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是指信用服务机构及其他企业事业单位、社会组织等市场信用信息提供单位，在生产经营活动中产生或者获取的信用信息，以及信用主体以声明、自愿注册、自主申报、社会承诺等形式提供的自身信用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r>
        <w:rPr>
          <w:rFonts w:hint="eastAsia" w:ascii="仿宋_GB2312" w:hAnsi="仿宋_GB2312" w:eastAsia="黑体" w:cs="仿宋_GB2312"/>
          <w:b w:val="0"/>
          <w:i w:val="0"/>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社会信用主管部门会同有关部门建立健全社会信用信息采集、归集、共享和应用机制。各级国家机关可以与企业事业单位等开展信息合作，建立公共信用信息和市场信用信息的互通、共享机制，实现公共信用信息和市场信用信息的共同应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实行目录制管理。在执行全国公共信用信息基础目录的同时，省、设区的市可以依据地方性法规，制定适用于本地的公共信用信息补充目录，并根据全国公共信用信息基础目录更新情况和工作需要适时更新。</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公共信用信息提供单位应当按照全国公共信用信息基础目录和本省公共信用信息补充目录记录信用主体的公共信用信息。本省公共信用信息补充目录记录的内容主要包括：</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(一)公共管理和服务中反映信用主体基本情况的登记类信息；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(二)行政许可、行政处罚、行政强制、行政确认、行政征收、行政给付、行政裁决、行政补偿、行政奖励、行政检查等行政行为中反映信用主体信用状况的信息；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(三)受到表彰奖励以及参加社会公益、志愿服务等信息；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(四)人民法院生效判决认定构成犯罪的信息；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(五)拒不履行生效法律文书规定义务的信息；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(六)法律、法规和国家规定应当记录的其他信息。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公共信用信息按照记录的内容分为基础信息、优良信息和失信信息。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在履职过程中产生或者获取的自然人的姓名、身份证号，法人和非法人组织的名称、统一社会信用代码等用于识别信用主体身份的信息；以及自然人的年龄、性别，法人和非法人组织的经营范围、经营场所等反映信用主体基本情况的信息，作为基础信息纳入信用主体的信用记录。</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公共信用信息提供单位在履职过程中产生或者获取的信用主体的下列信息，作为优良信息纳入信用主体信用记录：</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(一)表彰、奖励等荣誉信息；</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(二)参加社会公益、志愿服务等信息；</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(三)全国公共信用信息基础目录和本省公共信用信息补充目录规定的其他反映信用主体状况的优良信息。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公共信用信息提供单位在履职过程中产生或者获取的信用主体下列信息，作为失信信息纳入信用主体的信用记录：</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(一)违反审批替代、容缺受理、信用修复等政务领域信用承诺制度的信息；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(二)拒绝依法缴纳税款、社会保险费、行政事业性收费、政府性基金的信息;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(三)发生法律效力的行政处罚信息；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(四)以不正当手段取得行政许可、行政给付、行政奖励、行政补偿、财政性资金的信息；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(五)人民法院生效判决认定构成犯罪的信息；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(六)有履行能力拒不履行生效法律文书规定义务的信息；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(七)被依法强制执行的信息；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(八)经依法认定的其他失信信息。</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信用主体违法行为轻微并主动消除或者减轻危害后果的行政处罚信息，以及适用简易程序对信用主体作出的行政处罚信息，不列为失信信息。法律、行政法规另有规定的除外。</w:t>
      </w:r>
    </w:p>
    <w:p>
      <w:pPr>
        <w:keepNext w:val="0"/>
        <w:keepLines w:val="0"/>
        <w:pageBreakBefore w:val="0"/>
        <w:widowControl w:val="0"/>
        <w:kinsoku/>
        <w:wordWrap/>
        <w:overflowPunct/>
        <w:topLinePunct w:val="0"/>
        <w:autoSpaceDE/>
        <w:autoSpaceDN/>
        <w:bidi w:val="0"/>
        <w:adjustRightInd/>
        <w:snapToGrid/>
        <w:spacing w:line="560" w:lineRule="exact"/>
        <w:ind w:firstLine="516"/>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国家机关以及法律、法规授权具有管理公共事务职能的组织认定失信行为，应当以具有法律效力的文书为依据。失信信息按照失信行为的严重程度、危害后果分为一般失信信息和严重失信信息。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公共信用信息提供单位应当按照全国公共信用信息基础目录和本省公共信用信息补充目录，及时、准确地归集本行业、本领域、本行政区域公共信用信息，并向同级公共信用信息平台推送。</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公共信用信息提供单位应当建立公共信用信息审查机制，在向公共信用信息平台推送信息前按照有关规定核实采集公共信用信息，并对提供信息的真实性、准确性负责。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设区的市公共信用信息平台应当及时、准确、完整推送公共信用信息至省公共信用信息平台，实现全省公共信用信息共享共用。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市场信用服务机构、信用服务行业组织以及有市场信用信息采集需求的其他企业事业单位、社会组织可以依法记录自身业务活动中产生的市场信用信息，或者根据服务和管理的需要依法记录其会员、入驻经营者等的市场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可以以声明、自愿注册、自主申报、社会承诺等形式主动向公共信用信息平台和其他法定渠道提供信用主体自身的市场信用信息；提供信息涉及他人信息的，应当提供他人授权证明材料，并承诺信息的合法、真实、准确，其所提供信息依法依规接受公共信用信息平台核验。</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省人民政府社会信用主管部门制定市场信用信息的采集要求和技术规范。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市场信用信息提供单位可以将符合采集要求和技术规范的市场信用信息依法向公共信用信息平台推送，并对共享信息的真实性、准确性负责。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自然人社会信用信息的归集以居民身份证号码作为关联匹配的标识；无居民身份证号码的，以其他有效身份证件号码作为关联匹配的标识。</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法人和非法人组织社会信用信息的归集以统一社会信用代码作为关联匹配的唯一标识。</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公共信用信息平台运行单位应当通过门户网站、移动客户端、线下查询等渠道，采取依法公开、政务共享、实名认证使用、授权使用等方式免费开放查询。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公共信用信息提供单位和管理单位应当履行下列信息安全管理职责：</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(一)建立信息安全管理机制，确定责任人员；</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(二)建立信息查询制度规范，明确本单位工作人员的查询权限和查询程序；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(三)建立信息管理保密审查制度；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(四)遵守国家和本省有关信息安全的其他规定。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禁止任何单位和个人实施下列行为：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(一)篡改、虚构、隐匿、违规删除社会信用信息；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(二)泄露未经授权公开的社会信用信息；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(三)泄露涉及国家秘密、商业秘密、个人隐私的社会信用信息；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(四)买卖、非法提供或者公开他人的社会信用信息；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(五)法律、法规禁止的其他行为。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第三章</w:t>
      </w: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rPr>
        <w:t>守信激励和失信惩戒</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第二十三条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县级以上人民政府可以制定守信激励措施清单，并根据工作需要适时更新。</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社会信用主管部门会同有关部门制定、更新守信激励措施清单。制定、更新守信激励措施清单时，应当明确激励实施对象、实施方式、实施主体等内容；应当公开征求意见，报本级人民政府同意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64"/>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设区的市、县级人民政府制定、更新的守信激励措施清单，应当报上一级人民政府社会信用主管部门备案。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守信激励措施清单可以在下列范围内确定：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(一)在行政许可中，根据实际情况给予优先办理、简化程序、容缺受理等便利服务；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(二)在公共资源交易中，给予信用加分、提升信用等级；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(三)参与政府投资或者政府与社会资本合作的建设项目，予以减免保证金；</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(四)在行政检查中优化检查方式、检查频次；</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(五)在公共服务方面给予支持和便利；</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(六)优先推荐评优评先；</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(七)国家和本省规定的其他激励措施。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已列入守信激励名单的信用主体有下列情况之一，经查证核实的，应当由认定机关或者组织将其移出名单，并及时共享该信息。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(一)超出由认定机关或者组织规定的名单有效期限的；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(二)被列入严重失信主体名单的；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(三)国家和本省规定的其他情形。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执行全国失信惩戒措施基础清单的同时，省、设区的市确因社会治理、市场监管和公共服务的需要，可以依据地方性法规，制定适用于本地的失信惩戒措施补充清单，并根据全国失信惩戒措施基础清单更新情况和工作需要适时更新。</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人民政府社会信用主管部门会同有关部门制定、更新失信惩戒措施补充清单。制定、更新失信惩戒措施补充清单时，应当明确惩戒实施对象、实施方式、实施主体等内容；应当公开征求意见，报本级人民政府同意并向社会公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设区的市制定、更新的失信惩戒措施补充清单，应当报省人民政府社会信用主管部门备案。禁止在失信惩戒措施清单外违法违规实施惩戒措施。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对信用主体实施的信用惩戒措施应当遵循合法、关联、比例原则，与信用主体失信行为相关联，与信用主体违法、违约行为的性质、情节和社会危害程度相适应。</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对未成年人和其他限制行为能力人失信行为、受自然灾害或者疫情等不可抗力影响导致的失信行为，以及非主观故意、轻微失信行为，应当宽容审慎进行认定、记录和惩戒。</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失信惩戒措施补充清单应当限制在下列范围内：</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(一)在实施行政许可工作中，不适用告知承诺等简化程序；</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(二)在财政资金、社会保障资金资助等政策扶持中，作相应限制；</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(三)在行政管理和公共服务中，限制享受相关便利化措施；</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(四)在公共资源交易中，给予信用减分、降低信用等级；</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(五)在日常监管中，按照有关规定增加监管频次，加强现场监督检查；</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(六)限制参加政府组织的表彰奖励活动；</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(七)国家和本省规定的其他惩戒措施。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设列严重失信主体名单领域，应当以法律、法规或者国家规定为依据，不得擅自增加或者扩展。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信用主体的下列行为属于严重失信行为：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(一)严重危害人民群众身体健康和生命财产安全的行为。包括食品药品、生态环境、工程质量、安全生产、消防安全、交通运输、强制性产品认证等领域的严重失信行为。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严重破坏市场公平竞争秩序和社会正常秩序的行为。包括贿赂，逃税骗税，抗税，恶意逃废债务，内幕交易，逃套骗汇，恶意拖欠货款或服务费，恶意欠薪，电信网络诈骗，帮助信息网络犯罪活动,合同欺诈，无证照经营，制售假冒伪劣产品，故意侵犯知识产权，非法集资，组织传销，出借和借用资质投标，围标串标，虚假广告，侵害消费者或证券期货投资者合法权益，有履行能力拒不履行作出的公开信用承诺而造成严重后果，严重破坏网络空间传播秩序，严重扰乱社会公共秩序等严重失信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(三)有履行能力拒不履行法定义务，严重影响司法机关、行政机关公信力的行为。包括当事人在司法机关、行政机关作出判决或者决定后，有履行能力但拒不履行、逃避执行等严重失信行为。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(四)拒不履行国防义务，拒绝、逃避兵役，拒绝、拖延民用资源征用或者阻碍对被征用的民用资源进行改造，危害国防利益，破坏国防设施等严重失信行为。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(五)法律、行政法规和国家规定的其他严重失信行为。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严重失信主体名单的认定标准执行法律、行政法规或者国家规定。仅在本省范围内实施的严重失信主体名单制度，其名单认定标准应当由本省地方性法规规定。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第三十一条</w:t>
      </w:r>
      <w:r>
        <w:rPr>
          <w:rFonts w:hint="eastAsia" w:ascii="仿宋_GB2312" w:hAnsi="仿宋_GB2312" w:eastAsia="仿宋_GB2312" w:cs="仿宋_GB2312"/>
          <w:sz w:val="32"/>
          <w:szCs w:val="32"/>
        </w:rPr>
        <w:t xml:space="preserve"> 国家机关以及法律、法规授权的具有管理公共事务职能的组织作出认定严重失信主体名单决定前，应当告知信用主体决定的事由、依据和依法享有的权利；信用主体提出异议的，应当予以核实，并在法律、法规和国家规定的时限内反馈结果。</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将信用主体列入严重失信主体名单，应当由认定部门依法出具并送达相应的行政、司法、仲裁决定文书，载明事由、依据、失信惩戒措施提示、移出条件和程序以及救济措施等。</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禁止不按照认定标准和认定程序擅自认定严重失信主体名单。</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对列入严重失信主体名单的信用主体，有关国家机关以及法律、法规授权的具有管理公共事务职能的组织应当依据法律、法规和国家有关规定实施惩戒措施。</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严重失信主体是法人、非法人组织的，在记录该单位严重失信信息时，应当标明对该严重失信行为负有责任的法定代表人、主要负责人、实际控制人和其他直接责任人员的信息。有关部门应当依法依规对该单位负有责任的法定代表人、主要负责人、实际控制人和其他直接责任人员采取惩戒措施，并将相关失信行为记入其公共信用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第三十四条</w:t>
      </w:r>
      <w:r>
        <w:rPr>
          <w:rFonts w:hint="eastAsia" w:ascii="仿宋_GB2312" w:hAnsi="仿宋_GB2312" w:eastAsia="仿宋_GB2312" w:cs="仿宋_GB2312"/>
          <w:sz w:val="32"/>
          <w:szCs w:val="32"/>
        </w:rPr>
        <w:t xml:space="preserve"> 被列入严重失信主体名单的信用主体，已经纠正失信行为、完成信用整改、履行义务完毕的，认定名单的有关机关或者组织应当将其移出，并及时共享至公共信用信息平台。</w:t>
      </w:r>
    </w:p>
    <w:p>
      <w:pPr>
        <w:keepNext w:val="0"/>
        <w:keepLines w:val="0"/>
        <w:pageBreakBefore w:val="0"/>
        <w:widowControl w:val="0"/>
        <w:kinsoku/>
        <w:wordWrap/>
        <w:overflowPunct/>
        <w:topLinePunct w:val="0"/>
        <w:autoSpaceDE/>
        <w:autoSpaceDN/>
        <w:bidi w:val="0"/>
        <w:adjustRightInd/>
        <w:snapToGrid/>
        <w:spacing w:line="560" w:lineRule="exact"/>
        <w:ind w:firstLine="498"/>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第三十五条</w:t>
      </w:r>
      <w:r>
        <w:rPr>
          <w:rFonts w:hint="eastAsia" w:ascii="仿宋_GB2312" w:hAnsi="仿宋_GB2312" w:eastAsia="仿宋_GB2312" w:cs="仿宋_GB2312"/>
          <w:sz w:val="32"/>
          <w:szCs w:val="32"/>
        </w:rPr>
        <w:t xml:space="preserve"> 鼓励行业协会、商会加强行业信用建设，依据组织章程等实施守信激励和失信惩戒措施,但不得损害会员的合法权益。</w:t>
      </w:r>
    </w:p>
    <w:p>
      <w:pPr>
        <w:keepNext w:val="0"/>
        <w:keepLines w:val="0"/>
        <w:pageBreakBefore w:val="0"/>
        <w:widowControl w:val="0"/>
        <w:kinsoku/>
        <w:wordWrap/>
        <w:overflowPunct/>
        <w:topLinePunct w:val="0"/>
        <w:autoSpaceDE/>
        <w:autoSpaceDN/>
        <w:bidi w:val="0"/>
        <w:adjustRightInd/>
        <w:snapToGrid/>
        <w:spacing w:line="560" w:lineRule="exact"/>
        <w:ind w:firstLine="498"/>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第四章</w:t>
      </w: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rPr>
        <w:t>信用主体权益保护</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第三十六条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省人民政府社会信用主管部门应当会同有关部门建立健全信用主体权益保护制度，建立责任追究机制、异议处理机制和信用修复机制。</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任何单位和个人不得非法采集自然人的收入、存款、有价证券、商业保险、不动产和纳税数额等信息作为市场信用信息。</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禁止采集自然人的宗教信仰、基因、指纹、血型、疾病和病史信息等个人信息作为市场信用信息。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信用主体有权知晓与其相关的社会信用信息的采集、使用等情况，以及其信用报告载明的信息来源、变动情况和理由。</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信用主体有权免费查询自身的公共信用信息。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信用主体认为公共信用信息平台或者公共信用信息提供单位、市场信用信息采集单位在社会信用信息的采集、归集、共享、应用等过程中，存在错误、遗漏等情形或者侵犯国家秘密、商业秘密、个人隐私以及其他个人信息等合法权益的，可以提出异议申请，并提交相关证明材料。</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共信用信息平台或者公共信用信息提供单位收到异议申请后，应当在一个工作日内作出异议标注，属于本单位处理范围的，应当在三个工作日内完成处理并将结果告知异议申请人。如需向其他单位核查信息的，应当自收到异议申请之日起七个工作日内完成核查和处理，并将结果告知异议申请人。接到核查通知的单位应当在三个工作日内处理完毕，并将核实后的信息同步推送至公共信用信息平台或者公共信用信息提供单位。</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市场信用信息采集单位收到异议申请后，应当参照前款规定及时完成异议处理工作，并将结果告知异议申请人。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异议处理需要进行检验、检测、检疫、鉴定或者专家评审的，所需时间不计入异议申请办理时间。</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失信信息公示期限内，信用主体主动纠正失信行为、消除不良影响的，可以向公共信用信息平台运行管理单位或者作出失信行为认定的公共信用信息提供单位提出信用修复申请。符合信用修复规定的，公共信用信息平台运行管理单位或者公共信用信息提供单位应当在十个工作日内修复，并撤销失信信息的公示。法律、法规和国家另有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提供单位依法撤销、确认无效或者变更的公共信用信息的，应当在三个工作日内将更正后的信息同步推送至公共信用信息平台。公共信用信息平台运行管理单位应当在三个工作日内从数据库中删除或者更正该信息。</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任何单位不得强制要求金融机构、信用服务机构、行业协会、新闻媒体等惩戒失信主体。</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第五章</w:t>
      </w: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rPr>
        <w:t>社会信用环境建设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各级人民政府应当加强政务诚信建设，发挥行政机关和公职人员在社会信用体系建设中的关键和示范作用，建立政务诚信监测治理体系和政府失信责任追究制度。</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有关部门在依法履行职责和其他经济活动中，应当履行依法向社会作出的政策承诺以及签订的合同，加强在政府采购、政府和社会资本合作、招标投标、行政许可、招商引资、地方政府债务等重点领域的政务诚信建设，不得以行政区划调整、政府负责人员调整、机构职能调整等为由违约、毁约。</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确因国家利益、公共利益或者其他法定事由需要改变政策承诺、行政许可或者合同约定的，应当依照法定权限和程序进行，并依法对相关市场主体因此受到的损失予以补偿。</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各级人民政府应当建立诚信督导机制，上级人民政府应当每年对下级人民政府进行政务诚信监督检查，实施政务诚信考核，考核结果作为对下级人民政府综合评价的重要参考。</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县级以上人民政府应当加强生产、流通、消费、工程建设、招标投标、交通运输等领域商务诚信建设，引导市场主体增强社会责任感，强化信用自律。</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县级以上人民政府应当推进社会保障、教育科研、劳动用工、环境保护和节约资源等领域社会诚信建设，鼓励社会成员之间以诚相待、信守承诺。</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第四十八条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各级司法机关应当加强司法公信建设，提高司法公信力，维护社会公平正义。</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征信机构、评级机构、评估机构、鉴定机构、律师事务所、会计师事务所、审计师事务所、房地产中介等中介服务机构应当建立从业人员信用档案，开展诚信教育，促进社会诚信建设。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省人民政府社会信用主管部门应当组织有关部门制定公共信用综合评价办法，报省人民政府批准后公布实施。国家已制定公共信用综合评价办法的，适用其规定。</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县级以上人民政府应当依照公共信用综合评价办法，建立信用分级分类监管机制。 </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县级以上人民政府及其有关部门和社会组织应当组织开展信用示范创建活动，建设诚信市场、诚信街区、诚信商户、诚信单位，树立诚信典范，营造知信、用信、守信的社会环境。</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县级以上人民政府应当在全社会开展社会公德、职业道德、家庭美德、个人品德教育和诚信文化建设。</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县级以上人民政府社会信用主管部门应当会同有关部门加强对信用服务机构的监督管理，培育、规范、促进信用服务行业有序发展。</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本条例所称信用服务机构是指依法设立，向社会提供信用产品和信用服务，从事信用评级、信用咨询管理、信用风险控制和信用数据服务等相关经营活动的专业服务机构。</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支持信用服务机构利用大数据等技术依法采集加工市场信用信息，开发信用产品和信用服务，拓展信用应用市场，为社会提供优质高效的信用产品服务。</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鼓励县级以上人民政府有关部门在行政许可、行政检查、行政处罚、资质审核、政府采购、招标投标、公共资源交易、国有土地使用权和矿业权出让、项目审批、财政性资金安排、招商引资、公务人员录用和劳动用工等工作中使用信用报告。</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信用服务机构、社会组织、基层群众性自治组织和其他企业事业单位应当加强自身信用管理，遵守法律法规、行业规约和职业道德准则，主动参与社会信用建设，承担社会责任。社会公众应当守信自律，增强诚信意识，积极参与信用教育和信用监督活动。</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第六章</w:t>
      </w: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rPr>
        <w:t>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第五十七条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国家机关和法律、法规授权的具有管理公共事务职能的组织及其工作人员，有下列行为之一的，由法律、法规规定的相关主管部门责令改正；情节严重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(一)未按照规定编制本省公共信用信息补充目录的；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(二)未按照全国公共信用信息基础目录和本省公共信息信息补充目录履行记录、报送、归集、共享和公示社会信用信息职责的；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(三)超越权限或者违反程序查询社会信用信息的；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(四)篡改、虚构、隐匿、泄露、窃取、买卖、违法违规删除社会信用信息的；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(五)未履行异议信息处理、失信信息撤销、信用修复职责的；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(六)未落实守信激励和失信惩戒措施的；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(七)在全国失信惩戒措施基础清单和本省惩戒措施补充清单外违法违规实施惩戒措施的；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(八)不按标准、程序擅自认定严重失信主体名单的；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(九)未建立社会信用信息安全管理制度，未履行保障信息安全职责的；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(十)未按照规定履行告知义务的；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(十一)未按照本条例规定履行职责的其他行为。</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第五十八条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市场信用信息提供单位及其工作人员有下列行为之一的，由县级以上人民政府社会信用主管部门或者法律、法规规定的部门责令限期改正，有违法所得的，没收违法所得，并对单位处五万元以上十万元以下罚款；情节严重的，处十万元以上三十万元以下罚款；对个人并处一万元以上三万元以下罚款，情节严重的，处三万元以上十万元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(一)虚构、篡改、违规删除市场信用信息的；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(二)泄露涉及国家秘密、商业秘密、个人隐私的市场信用信息的；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(三)未经信</w:t>
      </w:r>
      <w:bookmarkStart w:id="0" w:name="_GoBack"/>
      <w:r>
        <w:rPr>
          <w:rFonts w:hint="eastAsia" w:ascii="仿宋_GB2312" w:hAnsi="仿宋_GB2312" w:eastAsia="仿宋_GB2312" w:cs="仿宋_GB2312"/>
          <w:sz w:val="32"/>
          <w:szCs w:val="32"/>
        </w:rPr>
        <w:t>用主体授权擅自将非公开的市场信用信息提供给第三方查询或者使用的；</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(四)法律、法规禁止的其他行为。</w:t>
      </w:r>
    </w:p>
    <w:bookmarkEnd w:id="0"/>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     第五十九条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公共信用信息平台运行管理单位、企业事业单位、信用服务机构等在社会信用信息采集、归集、使用等过程中侵犯信用主体合法权益的，应当依法承担相应的民事责任。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违反国家规定，非法获取、窃取、提供、出售个人社会信用信息，构成违反治安管理行为的，依法给予治安管理处罚；构成犯罪的，依法追究刑事责任。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黑体" w:cs="仿宋_GB2312"/>
          <w:b w:val="0"/>
          <w:i w:val="0"/>
          <w:sz w:val="32"/>
          <w:szCs w:val="32"/>
        </w:rPr>
        <w:t>第六十一条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违反本条例规定的其他行为，法律、法规已有处罚规定的，适用其规定。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第七章</w:t>
      </w:r>
      <w:r>
        <w:rPr>
          <w:rFonts w:hint="eastAsia" w:ascii="仿宋_GB2312" w:hAnsi="仿宋_GB2312" w:eastAsia="黑体" w:cs="仿宋_GB2312"/>
          <w:b w:val="0"/>
          <w:i w:val="0"/>
          <w:sz w:val="32"/>
          <w:szCs w:val="32"/>
        </w:rPr>
        <w:t xml:space="preserve">  </w:t>
      </w:r>
      <w:r>
        <w:rPr>
          <w:rFonts w:hint="eastAsia" w:ascii="仿宋_GB2312" w:hAnsi="仿宋_GB2312" w:eastAsia="黑体" w:cs="仿宋_GB2312"/>
          <w:b w:val="0"/>
          <w:i w:val="0"/>
          <w:sz w:val="32"/>
          <w:szCs w:val="32"/>
        </w:rPr>
        <w:t>附    则</w:t>
      </w:r>
    </w:p>
    <w:p>
      <w:pPr>
        <w:keepNext w:val="0"/>
        <w:keepLines w:val="0"/>
        <w:pageBreakBefore w:val="0"/>
        <w:widowControl w:val="0"/>
        <w:kinsoku/>
        <w:wordWrap/>
        <w:overflowPunct/>
        <w:topLinePunct w:val="0"/>
        <w:autoSpaceDE/>
        <w:autoSpaceDN/>
        <w:bidi w:val="0"/>
        <w:adjustRightInd/>
        <w:snapToGrid/>
        <w:spacing w:line="560" w:lineRule="exact"/>
        <w:textAlignment w:val="auto"/>
        <w:rPr>
          <w:rFonts w:hint="eastAsia" w:ascii="仿宋_GB2312" w:hAnsi="仿宋_GB2312" w:eastAsia="黑体" w:cs="仿宋_GB2312"/>
          <w:b w:val="0"/>
          <w:i w:val="0"/>
          <w:sz w:val="32"/>
          <w:szCs w:val="32"/>
        </w:rPr>
      </w:pPr>
      <w:r>
        <w:rPr>
          <w:rFonts w:hint="eastAsia" w:ascii="仿宋_GB2312" w:hAnsi="仿宋_GB2312" w:eastAsia="黑体" w:cs="仿宋_GB2312"/>
          <w:b w:val="0"/>
          <w:i w:val="0"/>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第六十二条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征信业的监督管理，依照法律、行政法规的有关规定执行。</w:t>
      </w:r>
    </w:p>
    <w:p>
      <w:pPr>
        <w:keepNext w:val="0"/>
        <w:keepLines w:val="0"/>
        <w:pageBreakBefore w:val="0"/>
        <w:widowControl w:val="0"/>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rPr>
      </w:pPr>
      <w:r>
        <w:rPr>
          <w:rFonts w:hint="eastAsia" w:ascii="仿宋_GB2312" w:hAnsi="仿宋_GB2312" w:eastAsia="黑体" w:cs="仿宋_GB2312"/>
          <w:b w:val="0"/>
          <w:i w:val="0"/>
          <w:sz w:val="32"/>
          <w:szCs w:val="32"/>
        </w:rPr>
        <w:t>第六十三条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本条例自2022年3月1日起施行。</w:t>
      </w:r>
    </w:p>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00" w:usb3="00000000" w:csb0="0004009F" w:csb1="DFD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610AB6"/>
    <w:rsid w:val="0E6B5B07"/>
    <w:rsid w:val="11D230A2"/>
    <w:rsid w:val="19F409DD"/>
    <w:rsid w:val="21C3470C"/>
    <w:rsid w:val="24AD37E4"/>
    <w:rsid w:val="260F67A9"/>
    <w:rsid w:val="272950BB"/>
    <w:rsid w:val="2F6560C7"/>
    <w:rsid w:val="317C34AF"/>
    <w:rsid w:val="378B26E6"/>
    <w:rsid w:val="37B14190"/>
    <w:rsid w:val="388A1D3C"/>
    <w:rsid w:val="439D0E1F"/>
    <w:rsid w:val="43C13681"/>
    <w:rsid w:val="44C276B7"/>
    <w:rsid w:val="46251359"/>
    <w:rsid w:val="499332DB"/>
    <w:rsid w:val="4A4C7934"/>
    <w:rsid w:val="4BD32B94"/>
    <w:rsid w:val="4D893C17"/>
    <w:rsid w:val="4E4063F4"/>
    <w:rsid w:val="51C15D6C"/>
    <w:rsid w:val="52622E1E"/>
    <w:rsid w:val="54DC2CB8"/>
    <w:rsid w:val="5AC0646B"/>
    <w:rsid w:val="5B28274C"/>
    <w:rsid w:val="62360695"/>
    <w:rsid w:val="63DF25C6"/>
    <w:rsid w:val="696625B7"/>
    <w:rsid w:val="6A882F18"/>
    <w:rsid w:val="6D820B8D"/>
    <w:rsid w:val="6F636266"/>
    <w:rsid w:val="7251685A"/>
    <w:rsid w:val="72DD6C1E"/>
    <w:rsid w:val="77BC5717"/>
    <w:rsid w:val="7907377A"/>
    <w:rsid w:val="79893713"/>
    <w:rsid w:val="7A422208"/>
    <w:rsid w:val="7B7018CD"/>
    <w:rsid w:val="7E0A112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WL</dc:creator>
  <cp:lastModifiedBy>AAA</cp:lastModifiedBy>
  <dcterms:modified xsi:type="dcterms:W3CDTF">2021-12-31T08:34:02Z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73E06576F4744AFC8A3F46BB54FD9628</vt:lpwstr>
  </property>
</Properties>
</file>