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bookmarkStart w:id="0" w:name="_Toc452737131"/>
      <w:bookmarkStart w:id="1" w:name="_Toc452736583"/>
      <w:bookmarkStart w:id="2" w:name="_Toc453486153"/>
      <w:bookmarkStart w:id="3" w:name="_Toc455759245"/>
    </w:p>
    <w:p>
      <w:pPr>
        <w:pStyle w:val="2"/>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p>
    <w:p>
      <w:pPr>
        <w:pStyle w:val="2"/>
        <w:pageBreakBefore w:val="0"/>
        <w:widowControl w:val="0"/>
        <w:kinsoku/>
        <w:wordWrap/>
        <w:overflowPunct/>
        <w:topLinePunct w:val="0"/>
        <w:autoSpaceDE/>
        <w:autoSpaceDN/>
        <w:bidi w:val="0"/>
        <w:adjustRightInd/>
        <w:snapToGrid/>
        <w:spacing w:line="240" w:lineRule="auto"/>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池州市人民代表大会及其常务委员会</w:t>
      </w:r>
      <w:bookmarkEnd w:id="0"/>
      <w:bookmarkEnd w:id="1"/>
      <w:bookmarkStart w:id="4" w:name="_Toc452737132"/>
      <w:bookmarkStart w:id="5" w:name="_Toc452736584"/>
    </w:p>
    <w:p>
      <w:pPr>
        <w:pStyle w:val="2"/>
        <w:pageBreakBefore w:val="0"/>
        <w:widowControl w:val="0"/>
        <w:kinsoku/>
        <w:wordWrap/>
        <w:overflowPunct/>
        <w:topLinePunct w:val="0"/>
        <w:autoSpaceDE/>
        <w:autoSpaceDN/>
        <w:bidi w:val="0"/>
        <w:adjustRightInd/>
        <w:snapToGrid/>
        <w:spacing w:line="240" w:lineRule="auto"/>
        <w:textAlignment w:val="auto"/>
        <w:rPr>
          <w:rFonts w:hint="eastAsia" w:asciiTheme="majorEastAsia" w:hAnsiTheme="majorEastAsia" w:eastAsiaTheme="majorEastAsia" w:cstheme="majorEastAsia"/>
          <w:sz w:val="44"/>
          <w:szCs w:val="44"/>
        </w:rPr>
      </w:pPr>
      <w:bookmarkStart w:id="6" w:name="_GoBack"/>
      <w:bookmarkEnd w:id="6"/>
      <w:r>
        <w:rPr>
          <w:rFonts w:hint="eastAsia" w:asciiTheme="majorEastAsia" w:hAnsiTheme="majorEastAsia" w:eastAsiaTheme="majorEastAsia" w:cstheme="majorEastAsia"/>
          <w:sz w:val="44"/>
          <w:szCs w:val="44"/>
        </w:rPr>
        <w:t>立法程序规定</w:t>
      </w:r>
      <w:bookmarkEnd w:id="2"/>
      <w:bookmarkEnd w:id="4"/>
      <w:bookmarkEnd w:id="5"/>
    </w:p>
    <w:p>
      <w:pPr>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（2016年1月9日池州市第三届人民代表大会第五次会议通过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color w:val="000000"/>
          <w:sz w:val="32"/>
          <w:szCs w:val="32"/>
        </w:rPr>
        <w:t>2016年3月31日安徽省第十二届人民代表大会常务委员会第二十八次会议批准</w:t>
      </w:r>
      <w:r>
        <w:rPr>
          <w:rFonts w:hint="eastAsia" w:ascii="楷体_GB2312" w:hAnsi="楷体_GB2312" w:eastAsia="楷体_GB2312" w:cs="楷体_GB2312"/>
          <w:sz w:val="32"/>
          <w:szCs w:val="32"/>
        </w:rPr>
        <w:t>）</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根据《中华人民共和国立法法》和《中华人民共和国地方各级人民代表大会和地方各级人民政府组织法》，结合本市实际，制定本规定。</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本规定适用于市人民代表大会及其常务委员会制定、修改、解释和废止法规的活动。</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编制立法规划和制定年度立法计划，按照下列程序进行：</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（一）市人民政府、市中级人民法院、市人民检察院和市人民代表大会各专门委员会、各县（区）人民代表大会常务委员会，向市人民代表大会常务委员会提出立法项目的建议。</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本市其他国家机关、人民团体、社会组织和公民个人，也可以提出立法项目建议。</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机关、团体、组织提出立法项目建议，应当提交《立法项目建议书》，主要内容包括：法规名称、立法依据、立法的宗旨和目的、需要解决的主要问题和采取的法律对策、起草法规的单位和提请审议的时间安排等。</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（二）法制工作委员会应在每届任期第一年编制立法规划草案，在每年第三季度拟订下一年度立法计划草案，由常务委员会主任会议决定，印发常委会组成人员，并报省人民代表大会常务委员会。　　</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立法计划由常务委员会主任会议组织实施。计划实施过程中，因情况变化需要调整的，由常务委员会主任会议决定。　</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起草法规，应当根据涉及范围和内容需要成立起草小组。起草小组应当进行调查研究，广泛征求意见，进行协调、协商。</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由政府法制工作机构或者政府有关部门牵头起草法规的，市人民代表大会有关专门委员会和常务委员会有关工作</w:t>
      </w:r>
      <w:r>
        <w:rPr>
          <w:rFonts w:hint="eastAsia" w:ascii="仿宋_GB2312" w:hAnsi="仿宋_GB2312" w:eastAsia="仿宋_GB2312" w:cs="仿宋_GB2312"/>
          <w:spacing w:val="-4"/>
          <w:sz w:val="32"/>
          <w:szCs w:val="32"/>
        </w:rPr>
        <w:t>机构应当提前参与有关问题的调研、讨论、论证，提出意见和建议。</w:t>
      </w:r>
    </w:p>
    <w:p>
      <w:pPr>
        <w:pageBreakBefore w:val="0"/>
        <w:widowControl w:val="0"/>
        <w:kinsoku/>
        <w:wordWrap/>
        <w:overflowPunct/>
        <w:topLinePunct w:val="0"/>
        <w:autoSpaceDE/>
        <w:autoSpaceDN/>
        <w:bidi w:val="0"/>
        <w:adjustRightInd/>
        <w:snapToGrid/>
        <w:spacing w:line="240" w:lineRule="auto"/>
        <w:ind w:firstLine="624" w:firstLineChars="200"/>
        <w:textAlignment w:val="auto"/>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综合性、基础性、全局性的重要法规草案，可以由市人民代表大会有关专门委员会或者常务委员会有关工作委员会组织起草。　</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市人民代表大会主席团可以向市人民代表大会提出法规案，由市人民代表大会会议审议。</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市人民代表大会常务委员会、市人民政府、市人民代表大会各专门委员会，可以向市人民代表大会提出法规案，由主席团决定列入会议议程。</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一个代表团或者十名以上的代表联名，可以向市人民代表大会提出法规案，由主席团先交有关专门委员会审议，提出是否列入会议议程的意见，再决定是否列入会议议程。</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主任会议可以向常务委员会提出法规案，由常务委员会会议审议。</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市人民政府、市人民代表大会各专门委员会，可以向常务委员会提出法规案，由主任会议决定列入常务委员会会议议程，或者先交有关的专门委员会研究，提出意见，再由主任会议决定列入常务委员会会议议程。</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组成人员五人以上联名，可以向常务委员会提出法规案，由主任会议决定是否列入常务委员会会议议程，或者先交有关的专门委员会审议、常务委员会有关工作机构研究，提出是否列入会议议程的意见，再决定是否列入常务委员会会议议程。不列入常务委员会会议议程的，应当向常务委员会会议报告或者向提案人说明。</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向市人民代表大会或者常务委员会提出法规案，应当同时提交法规草案文本及其说明，并提供必要的资料。法规草案的说明应当包括制定该法规的必要性、立法依据和主要内容。</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向市人民代表大会提出的法规案，在市人民代表大会闭会期间，可以先向常务委员会提出，经常务委员会审议后，决定提请市人民代表大会审议，由常务委员会向大会全体会议作说明。</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列入市人民代表大会会议议程的法规案，大会全体会议听取提案人的说明后，由各代表团进行审议。</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各代表团审议法规案时，提案人应当派人听取意见，回答询问；有关机关、组织应当根据代表团的要求，派人介绍有关情况。</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列入市人民代表大会会议议程的法规案，由法制委员会根据各代表团的审议意见，对法规案进行统一审议，向主席团提出修改情况的说明和法规草案修改稿，对重要的不同意见应当在修改情况的说明中予以汇报，经主席团会议审议通过后，印发会议。</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必要时，主席团常务主席可以召开各代表团团长会议，也可以召开各代表团推荐的有关代表会议，就法规草案中的重大问题或者重大的专门性问题进行讨论，并将讨论的情况和意见向主席团报告。</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列入市人民代表大会会议议程的法规案，在交付表决前，提案人要求撤回的，应当说明理由，经主席团同意，并向大会报告，对该法规案的审议即行终止。</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列入市人民代表大会会议议程的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法规草案修改稿经各代表团审议后，由法制委员会根据各代表团的审议意见进行修改，提出法规草案审议结果的报告和法规草案表决稿，由主席团提请大会全体会议表决，由全体代表的过半数通过。</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拟提请常务委员会会议第一次审议的法规案，一</w:t>
      </w:r>
      <w:r>
        <w:rPr>
          <w:rFonts w:hint="eastAsia" w:ascii="仿宋_GB2312" w:hAnsi="仿宋_GB2312" w:eastAsia="仿宋_GB2312" w:cs="仿宋_GB2312"/>
          <w:spacing w:val="-4"/>
          <w:sz w:val="32"/>
          <w:szCs w:val="32"/>
        </w:rPr>
        <w:t>般应当在常务委员会会议召开的二十日前报送常务委员会办公室</w:t>
      </w:r>
      <w:r>
        <w:rPr>
          <w:rFonts w:hint="eastAsia" w:ascii="仿宋_GB2312" w:hAnsi="仿宋_GB2312" w:eastAsia="仿宋_GB2312" w:cs="仿宋_GB2312"/>
          <w:sz w:val="32"/>
          <w:szCs w:val="32"/>
        </w:rPr>
        <w:t>。</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列入常务委员会会议议程的法规案，一般应当在会议举行的七日前将法规草案发给常务委员会组成人员。</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列入常务委员会会议议程的法规案，由法制委员会根据常务委员会组成人员的审议意见和有关专门委员会或者工作委员会的审查意见以及各方面提出的意见，对法规案进行统一审议，提出修改情况的说明和法规草案修改稿，或者审议结果的报告和法规草案表决稿，对重要的不同意见应当在修改情况的说明或者审议结果的报告中予以汇报。对有关专门委员会或者工作委员会的重要的审查意见没有采纳的，应当向有关专门委员会或者工作委员会反馈。</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法制委员会审议法规案时，可以邀请有关专门委员会或者工作委员会的负责人参加会议，发表意见。</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列入常务委员会会议议程的法规案，一般应当经常务委员会两次会议审议后再交付表决。</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常务委员会会议第一次审议法规案，在全体会议上听取提案人的说明和有关专门委员会或者工作委员会对法规案审查意见的报告，由分组会议进行初步审议。</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会议第二次审议法规案，在全体会议上听取法制委员会关于法规草案修改情况的说明，由分组会议对法规草案修改稿进行审议。法制委员会根据分组会议的审议意见对法规草案修改稿进行修改，提出审议结果的报告和法规草案表决稿，由主任会议提请常务委员会全体会议表决，由常务委员会全体组成人员的过半数通过。</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常务委员会分组会议审议法规案时，提案人应当派人听取审议意见，回答询问；有关机关、组织应根据分组会议的要求，派人介绍情况。</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法规案经常务委员会两次会议审议后，仍有重大问题需要进一步研究的，可以经常务委员会三次会议审议后再交付表决。</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部分修改的法规案和废止法规案，审议意见比较一致的，由法制委员会提请主任会议决定，可以经常务委员会一次会议审议后交付表决。</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常务委员会分组审议法规案时，应全文宣读法规草案或法规草案修改文本；提交常务委员会表决的法规草案表决稿，在表决前应在全体会议上全文宣读。</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列入常务委员会会议议程的法规案，常务委员会有关工作委员会应当广泛听取各方面的意见。</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列入常务委员会会议议程的法规案，在交付表决前，提案人要求撤回的，应当说明理由，经主任会议同意，并向常务委员会报告，对该法规案的审议即行终止。</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列入常务委员会会议审议的法规案，因对制定该法规的必要性、可行性等重大问题存在较大意见分歧搁置满两年的，或者因暂不付表决经过两年没有再次列入常务委员会会议议程审议的，由主任会议向常务委员会报告，该法规案终止审议。</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法规经市人民代表大会或者常务委员会通过后，常务委员会法制工作委员会应当在通过后十五日内按照规定报送省人民代表大会常务委员会批准。</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法规经省人民代表大会常务委员会批准后，由市人民代表大会常务委员会发布公告，于批准之日起二十日内在《池州日报》上全文公布，并在《池州市人民代表大会常务委员会公报》上全文刊登。</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在《池州市人民代表大会常务委员会公报》上刊登的法规文本为标准文本。</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及其常务委员会制定的法规有以下情况之一的，市人民政府、市中级人民法院、市人民检察院和市人民代表大会各专门委员会以及县（区）人民代表大会常务委员会可以向市人民代表大会常务委员会书面提出解释法规的要求：</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（一）需要进一步明确具体含义的；</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（二）实施后出现新的情况，需要明确适用法规依据的。</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法制工作委员会研究拟订法规解释草案，由主任会议决定列入常务委员会会议议程。</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法规解释草案经常务委员会会议审议，由法制委员会根据常务委员会组成人员的意见进行统一审议，提出法规解释草案表决稿。</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法规解释草案表决稿由常务委员会全体组成人员的过半数通过，报省人民代表大会常务委员会批准后，由市人民代表大会常务委员会发布公告予以公布。法规解释与法规具有同等效力。</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pacing w:val="-4"/>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pacing w:val="-4"/>
          <w:sz w:val="32"/>
          <w:szCs w:val="32"/>
        </w:rPr>
        <w:t>法规部分条文的修改和废止程序，适用本规定。</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法规部分条文被修改或者废止的，应当公布修改或者废止的决定，并同时公布新的法规文本。</w:t>
      </w:r>
    </w:p>
    <w:p>
      <w:pPr>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本规定自</w:t>
      </w:r>
      <w:r>
        <w:rPr>
          <w:rFonts w:hint="eastAsia" w:ascii="仿宋_GB2312" w:hAnsi="仿宋_GB2312" w:eastAsia="仿宋_GB2312" w:cs="仿宋_GB2312"/>
          <w:sz w:val="32"/>
          <w:szCs w:val="32"/>
        </w:rPr>
        <w:t>2016</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rPr>
        <w:t>5</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rPr>
        <w:t>1</w:t>
      </w:r>
      <w:r>
        <w:rPr>
          <w:rFonts w:hint="eastAsia" w:ascii="仿宋_GB2312" w:hAnsi="仿宋_GB2312" w:eastAsia="仿宋_GB2312" w:cs="仿宋_GB2312"/>
          <w:sz w:val="32"/>
          <w:szCs w:val="32"/>
        </w:rPr>
        <w:t>日起施行。</w:t>
      </w:r>
      <w:bookmarkEnd w:id="3"/>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5F85395"/>
    <w:rsid w:val="2C004F7B"/>
    <w:rsid w:val="2D742E6D"/>
    <w:rsid w:val="2E35379F"/>
    <w:rsid w:val="2E4E7D37"/>
    <w:rsid w:val="316C7F93"/>
    <w:rsid w:val="346C49AA"/>
    <w:rsid w:val="35244ADA"/>
    <w:rsid w:val="381E5E75"/>
    <w:rsid w:val="39B11E38"/>
    <w:rsid w:val="3A1E6683"/>
    <w:rsid w:val="3C282948"/>
    <w:rsid w:val="3C3E71B4"/>
    <w:rsid w:val="3F38699A"/>
    <w:rsid w:val="3FD80C09"/>
    <w:rsid w:val="3FF33AAA"/>
    <w:rsid w:val="407A2CDD"/>
    <w:rsid w:val="40CB1336"/>
    <w:rsid w:val="41456DAB"/>
    <w:rsid w:val="422A6439"/>
    <w:rsid w:val="425534DD"/>
    <w:rsid w:val="43066663"/>
    <w:rsid w:val="438A2EFC"/>
    <w:rsid w:val="484B04D4"/>
    <w:rsid w:val="48D86109"/>
    <w:rsid w:val="49F900AC"/>
    <w:rsid w:val="4B9163E8"/>
    <w:rsid w:val="4C900EAD"/>
    <w:rsid w:val="4F1C1CFA"/>
    <w:rsid w:val="51CF2E7D"/>
    <w:rsid w:val="51EF2D6B"/>
    <w:rsid w:val="538E26F6"/>
    <w:rsid w:val="55F102C8"/>
    <w:rsid w:val="5B883FCC"/>
    <w:rsid w:val="5E6529C6"/>
    <w:rsid w:val="63E17A79"/>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paragraph" w:customStyle="1" w:styleId="11">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2017-10-28T04:19:27Z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