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rPr>
      </w:pPr>
      <w:r>
        <w:rPr>
          <w:rFonts w:hint="eastAsia"/>
          <w:lang w:val="en-US" w:eastAsia="zh-CN"/>
        </w:rPr>
        <w:t>沈阳市住房公积金管理条例</w:t>
      </w:r>
    </w:p>
    <w:p>
      <w:pPr>
        <w:pStyle w:val="7"/>
        <w:rPr>
          <w:rFonts w:hint="eastAsia"/>
          <w:lang w:val="en-US" w:eastAsia="zh-CN"/>
        </w:rPr>
      </w:pPr>
    </w:p>
    <w:p>
      <w:pPr>
        <w:pStyle w:val="7"/>
        <w:rPr>
          <w:rFonts w:hint="eastAsia"/>
          <w:lang w:val="en-US" w:eastAsia="zh-CN"/>
        </w:rPr>
      </w:pPr>
      <w:bookmarkStart w:id="7" w:name="_GoBack"/>
      <w:bookmarkEnd w:id="7"/>
      <w:r>
        <w:rPr>
          <w:rFonts w:hint="eastAsia"/>
          <w:lang w:val="en-US" w:eastAsia="zh-CN"/>
        </w:rPr>
        <w:t>（2003年10月31日沈阳市第十三届人民代表大会常务委员会第六次会议通过  2003年11月28日辽宁省第十届人民代表大会常务委员会第六次会议批准）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楷体" w:hAnsi="楷体" w:eastAsia="楷体" w:cs="楷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楷体" w:hAnsi="楷体" w:eastAsia="楷体" w:cs="楷体"/>
          <w:kern w:val="2"/>
          <w:sz w:val="32"/>
          <w:szCs w:val="32"/>
          <w:lang w:val="en-US" w:eastAsia="zh-CN" w:bidi="ar"/>
        </w:rPr>
      </w:pPr>
      <w:r>
        <w:rPr>
          <w:rFonts w:hint="eastAsia" w:ascii="楷体" w:hAnsi="楷体" w:eastAsia="楷体" w:cs="楷体"/>
          <w:kern w:val="2"/>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楷体" w:hAnsi="楷体" w:eastAsia="楷体" w:cs="楷体"/>
          <w:kern w:val="2"/>
          <w:sz w:val="32"/>
          <w:szCs w:val="32"/>
          <w:lang w:val="en-US" w:eastAsia="zh-CN" w:bidi="ar"/>
        </w:rPr>
      </w:pPr>
    </w:p>
    <w:p>
      <w:pPr>
        <w:pStyle w:val="10"/>
      </w:pPr>
      <w:r>
        <w:rPr>
          <w:rFonts w:hint="eastAsia"/>
          <w:lang w:val="en-US" w:eastAsia="zh-CN"/>
        </w:rPr>
        <w:fldChar w:fldCharType="begin"/>
      </w:r>
      <w:r>
        <w:rPr>
          <w:rFonts w:hint="eastAsia"/>
          <w:lang w:val="en-US" w:eastAsia="zh-CN"/>
        </w:rPr>
        <w:instrText xml:space="preserve">TOC \o "1-1" \n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_Toc16651 </w:instrText>
      </w:r>
      <w:r>
        <w:rPr>
          <w:rFonts w:hint="eastAsia"/>
          <w:lang w:val="en-US" w:eastAsia="zh-CN"/>
        </w:rPr>
        <w:fldChar w:fldCharType="separate"/>
      </w:r>
      <w:r>
        <w:rPr>
          <w:rFonts w:hint="eastAsia"/>
          <w:lang w:val="en-US" w:eastAsia="zh-CN"/>
        </w:rPr>
        <w:t>第一章  总    则</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_Toc24453 </w:instrText>
      </w:r>
      <w:r>
        <w:rPr>
          <w:rFonts w:hint="eastAsia"/>
          <w:lang w:val="en-US" w:eastAsia="zh-CN"/>
        </w:rPr>
        <w:fldChar w:fldCharType="separate"/>
      </w:r>
      <w:r>
        <w:rPr>
          <w:rFonts w:hint="eastAsia"/>
          <w:lang w:val="en-US" w:eastAsia="zh-CN"/>
        </w:rPr>
        <w:t>第二章  缴    存</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_Toc31706 </w:instrText>
      </w:r>
      <w:r>
        <w:rPr>
          <w:rFonts w:hint="eastAsia"/>
          <w:lang w:val="en-US" w:eastAsia="zh-CN"/>
        </w:rPr>
        <w:fldChar w:fldCharType="separate"/>
      </w:r>
      <w:r>
        <w:rPr>
          <w:rFonts w:hint="eastAsia"/>
          <w:lang w:val="en-US" w:eastAsia="zh-CN"/>
        </w:rPr>
        <w:t>第三章  转移与封存</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_Toc23682 </w:instrText>
      </w:r>
      <w:r>
        <w:rPr>
          <w:rFonts w:hint="eastAsia"/>
          <w:lang w:val="en-US" w:eastAsia="zh-CN"/>
        </w:rPr>
        <w:fldChar w:fldCharType="separate"/>
      </w:r>
      <w:r>
        <w:rPr>
          <w:rFonts w:hint="eastAsia"/>
          <w:lang w:val="en-US" w:eastAsia="zh-CN"/>
        </w:rPr>
        <w:t>第四章  提取和使用</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_Toc703 </w:instrText>
      </w:r>
      <w:r>
        <w:rPr>
          <w:rFonts w:hint="eastAsia"/>
          <w:lang w:val="en-US" w:eastAsia="zh-CN"/>
        </w:rPr>
        <w:fldChar w:fldCharType="separate"/>
      </w:r>
      <w:r>
        <w:rPr>
          <w:rFonts w:hint="eastAsia"/>
          <w:lang w:val="en-US" w:eastAsia="zh-CN"/>
        </w:rPr>
        <w:t>第五章  监    督</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_Toc15318 </w:instrText>
      </w:r>
      <w:r>
        <w:rPr>
          <w:rFonts w:hint="eastAsia"/>
          <w:lang w:val="en-US" w:eastAsia="zh-CN"/>
        </w:rPr>
        <w:fldChar w:fldCharType="separate"/>
      </w:r>
      <w:r>
        <w:rPr>
          <w:rFonts w:hint="eastAsia"/>
          <w:lang w:val="en-US" w:eastAsia="zh-CN"/>
        </w:rPr>
        <w:t>第六章  法律责任</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_Toc16348 </w:instrText>
      </w:r>
      <w:r>
        <w:rPr>
          <w:rFonts w:hint="eastAsia"/>
          <w:lang w:val="en-US" w:eastAsia="zh-CN"/>
        </w:rPr>
        <w:fldChar w:fldCharType="separate"/>
      </w:r>
      <w:r>
        <w:rPr>
          <w:rFonts w:hint="eastAsia"/>
          <w:lang w:val="en-US" w:eastAsia="zh-CN"/>
        </w:rPr>
        <w:t>第七章  附    则</w:t>
      </w:r>
      <w:r>
        <w:rPr>
          <w:rFonts w:hint="eastAsia"/>
          <w:lang w:val="en-US" w:eastAsia="zh-CN"/>
        </w:rPr>
        <w:fldChar w:fldCharType="end"/>
      </w:r>
    </w:p>
    <w:p>
      <w:pPr>
        <w:pStyle w:val="10"/>
        <w:rPr>
          <w:rFonts w:hint="eastAsia" w:ascii="楷体" w:hAnsi="楷体" w:eastAsia="楷体" w:cs="楷体"/>
          <w:kern w:val="2"/>
          <w:szCs w:val="32"/>
          <w:lang w:val="en-US" w:eastAsia="zh-CN" w:bidi="ar"/>
        </w:rPr>
      </w:pPr>
      <w:r>
        <w:rPr>
          <w:rFonts w:hint="eastAsia"/>
          <w:lang w:val="en-US" w:eastAsia="zh-CN"/>
        </w:rPr>
        <w:fldChar w:fldCharType="end"/>
      </w:r>
    </w:p>
    <w:p>
      <w:pPr>
        <w:pStyle w:val="2"/>
        <w:numPr>
          <w:ilvl w:val="0"/>
          <w:numId w:val="1"/>
        </w:numPr>
        <w:rPr>
          <w:rFonts w:hint="eastAsia"/>
          <w:lang w:val="en-US"/>
        </w:rPr>
      </w:pPr>
      <w:bookmarkStart w:id="0" w:name="_Toc16651"/>
      <w:r>
        <w:rPr>
          <w:rFonts w:hint="eastAsia"/>
          <w:lang w:val="en-US" w:eastAsia="zh-CN"/>
        </w:rPr>
        <w:t xml:space="preserve"> 总    则</w:t>
      </w:r>
      <w:bookmarkEnd w:id="0"/>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第一条</w:t>
      </w:r>
      <w:r>
        <w:rPr>
          <w:rFonts w:hint="eastAsia" w:ascii="仿宋" w:hAnsi="仿宋" w:eastAsia="仿宋" w:cs="仿宋"/>
          <w:kern w:val="2"/>
          <w:sz w:val="32"/>
          <w:szCs w:val="32"/>
          <w:lang w:val="en-US" w:eastAsia="zh-CN" w:bidi="ar"/>
        </w:rPr>
        <w:t xml:space="preserve">  为了加强对住房公积金的管理，维护住房公积金所有者的合法权益，促进城镇住房建设，提高城镇居民的居住水平，根据国务院《住房公积金管理条例》的规定，结合本市实际，制定本条例。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第二条</w:t>
      </w:r>
      <w:r>
        <w:rPr>
          <w:rFonts w:hint="eastAsia" w:ascii="仿宋" w:hAnsi="仿宋" w:eastAsia="仿宋" w:cs="仿宋"/>
          <w:kern w:val="2"/>
          <w:sz w:val="32"/>
          <w:szCs w:val="32"/>
          <w:lang w:val="en-US" w:eastAsia="zh-CN" w:bidi="ar"/>
        </w:rPr>
        <w:t xml:space="preserve">  本条例所称住房公积金，是指国家机关、国有企业、城镇集体企业、外商投资企业、城镇私营企业及其他城镇企业、事业单位、民办非企业单位、社会团体（以下统称单位）及其在职职工缴存的长期住房储金。</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第三条 </w:t>
      </w:r>
      <w:r>
        <w:rPr>
          <w:rFonts w:hint="eastAsia" w:ascii="仿宋" w:hAnsi="仿宋" w:eastAsia="仿宋" w:cs="仿宋"/>
          <w:kern w:val="2"/>
          <w:sz w:val="32"/>
          <w:szCs w:val="32"/>
          <w:lang w:val="en-US" w:eastAsia="zh-CN" w:bidi="ar"/>
        </w:rPr>
        <w:t xml:space="preserve"> 本条例适用于本市行政区域内住房公积金的缴存、提取、使用、管理和监督。</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第四条</w:t>
      </w:r>
      <w:r>
        <w:rPr>
          <w:rFonts w:hint="eastAsia" w:ascii="仿宋" w:hAnsi="仿宋" w:eastAsia="仿宋" w:cs="仿宋"/>
          <w:kern w:val="2"/>
          <w:sz w:val="32"/>
          <w:szCs w:val="32"/>
          <w:lang w:val="en-US" w:eastAsia="zh-CN" w:bidi="ar"/>
        </w:rPr>
        <w:t xml:space="preserve">  沈阳住房公积金管理委员会（以下简称管委会）是住房公积金管理的决策机构。沈阳住房公积金管理中心（以下简称管理中心）是直属市人民政府的不以营利为目的独立的事业单位，具体负责住房公积金的管理。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第五条</w:t>
      </w:r>
      <w:r>
        <w:rPr>
          <w:rFonts w:hint="eastAsia" w:ascii="仿宋" w:hAnsi="仿宋" w:eastAsia="仿宋" w:cs="仿宋"/>
          <w:kern w:val="2"/>
          <w:sz w:val="32"/>
          <w:szCs w:val="32"/>
          <w:lang w:val="en-US" w:eastAsia="zh-CN" w:bidi="ar"/>
        </w:rPr>
        <w:t xml:space="preserve">  住房公积金的管理实行管委会决策、管理中心运作、银行专户存储、财政监督的原则。</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第六条 </w:t>
      </w:r>
      <w:r>
        <w:rPr>
          <w:rFonts w:hint="eastAsia" w:ascii="仿宋" w:hAnsi="仿宋" w:eastAsia="仿宋" w:cs="仿宋"/>
          <w:kern w:val="2"/>
          <w:sz w:val="32"/>
          <w:szCs w:val="32"/>
          <w:lang w:val="en-US" w:eastAsia="zh-CN" w:bidi="ar"/>
        </w:rPr>
        <w:t xml:space="preserve"> 职工个人缴存的住房公积金和职工所在单位为职工缴存的住房公积金，属于职工个人所有。</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Style w:val="11"/>
          <w:rFonts w:hint="eastAsia"/>
          <w:lang w:val="en-US" w:eastAsia="zh-CN"/>
        </w:rPr>
        <w:t>第七条</w:t>
      </w:r>
      <w:r>
        <w:rPr>
          <w:rFonts w:hint="eastAsia" w:ascii="仿宋" w:hAnsi="仿宋" w:eastAsia="仿宋" w:cs="仿宋"/>
          <w:kern w:val="2"/>
          <w:sz w:val="32"/>
          <w:szCs w:val="32"/>
          <w:lang w:val="en-US" w:eastAsia="zh-CN" w:bidi="ar"/>
        </w:rPr>
        <w:t xml:space="preserve">  住房公积金应当用于职工购买、建造、翻建、大修自住住房，任何单位和个人不得挪作他用。任何单位和个人都有权对挪用住房公积金的行为进行揭发、检举、控告。</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1" w:name="_Toc24453"/>
      <w:r>
        <w:rPr>
          <w:rFonts w:hint="eastAsia"/>
          <w:lang w:val="en-US" w:eastAsia="zh-CN"/>
        </w:rPr>
        <w:t>第二章  缴    存</w:t>
      </w:r>
      <w:bookmarkEnd w:id="1"/>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第八条</w:t>
      </w:r>
      <w:r>
        <w:rPr>
          <w:rFonts w:hint="eastAsia" w:ascii="仿宋" w:hAnsi="仿宋" w:eastAsia="仿宋" w:cs="仿宋"/>
          <w:kern w:val="2"/>
          <w:sz w:val="32"/>
          <w:szCs w:val="32"/>
          <w:lang w:val="en-US" w:eastAsia="zh-CN" w:bidi="ar"/>
        </w:rPr>
        <w:t xml:space="preserve">  管理中心应当在管委会依照国家有关规定指定的银行（以下简称受委托银行）设立住房公积金专户。单位应当到管理中心办理住房公积金缴存登记，经管理中心审核后，再到受委托银行为本单位职工办理住房公积金账户设立手续。每个职工只能有一个住房公积金账户。</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第九条</w:t>
      </w:r>
      <w:r>
        <w:rPr>
          <w:rFonts w:hint="eastAsia" w:ascii="仿宋" w:hAnsi="仿宋" w:eastAsia="仿宋" w:cs="仿宋"/>
          <w:kern w:val="2"/>
          <w:sz w:val="32"/>
          <w:szCs w:val="32"/>
          <w:lang w:val="en-US" w:eastAsia="zh-CN" w:bidi="ar"/>
        </w:rPr>
        <w:t xml:space="preserve">  新设立的单位应当自单位设立之日起30日内到管理中心办理缴存登记，并自登记之日起20日内持管理中心的审核文件，到受委托银行为本单位职工办理住房公积金账户设立手续。</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第十条</w:t>
      </w:r>
      <w:r>
        <w:rPr>
          <w:rFonts w:hint="eastAsia" w:ascii="仿宋" w:hAnsi="仿宋" w:eastAsia="仿宋" w:cs="仿宋"/>
          <w:kern w:val="2"/>
          <w:sz w:val="32"/>
          <w:szCs w:val="32"/>
          <w:lang w:val="en-US" w:eastAsia="zh-CN" w:bidi="ar"/>
        </w:rPr>
        <w:t xml:space="preserve">  单位录用职工的，应当自录用之日起30日内到管理中心办理缴存登记，并持管理中心的审核文件，到受委托银行办理职工住房公积金账户的设立或者转移手续。</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第十一条</w:t>
      </w:r>
      <w:r>
        <w:rPr>
          <w:rFonts w:hint="eastAsia" w:ascii="仿宋" w:hAnsi="仿宋" w:eastAsia="仿宋" w:cs="仿宋"/>
          <w:kern w:val="2"/>
          <w:sz w:val="32"/>
          <w:szCs w:val="32"/>
          <w:lang w:val="en-US" w:eastAsia="zh-CN" w:bidi="ar"/>
        </w:rPr>
        <w:t xml:space="preserve">  职工住房公积金的月缴存额为住房公积金缴存基数乘以职工住房公积金缴存比例；单位为职工缴存的住房公积金的月缴存额为住房公积金缴存基数乘以单位住房公积金缴存比例。住房公积金缴存基数为职工本人上一年度月平均工资。职工上一年度月平均工资超出本市上一年度社会月平均工资500％以外部分的，不计入缴存基数。单位应在每年7月份对住房公积金缴存基数进行调整。本市住房公积金的具体缴存比例，按照管委会拟订，市人民政府审核，省人民政府批准的缴存比例执行。</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第十二条</w:t>
      </w:r>
      <w:r>
        <w:rPr>
          <w:rFonts w:hint="eastAsia" w:ascii="仿宋" w:hAnsi="仿宋" w:eastAsia="仿宋" w:cs="仿宋"/>
          <w:kern w:val="2"/>
          <w:sz w:val="32"/>
          <w:szCs w:val="32"/>
          <w:lang w:val="en-US" w:eastAsia="zh-CN" w:bidi="ar"/>
        </w:rPr>
        <w:t xml:space="preserve">  新参加工作的职工从参加工作的第二个月开始缴存住房公积金，月缴存额为职工本人当月工资乘以职工住房公积金缴存比例。单位新调入的职工从调入单位发放工资之日起缴存住房公积金，月缴存额为职工本人当月工资乘以职工住房公积金缴存比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第十三条</w:t>
      </w:r>
      <w:r>
        <w:rPr>
          <w:rFonts w:hint="eastAsia" w:ascii="仿宋" w:hAnsi="仿宋" w:eastAsia="仿宋" w:cs="仿宋"/>
          <w:kern w:val="2"/>
          <w:sz w:val="32"/>
          <w:szCs w:val="32"/>
          <w:lang w:val="en-US" w:eastAsia="zh-CN" w:bidi="ar"/>
        </w:rPr>
        <w:t xml:space="preserve">  职工个人缴存的住房公积金，由所在单位每月从其工资中代扣代缴。单位应当于每月发放职工工资之日起5日内将单位缴存的和为职工代缴的住房公积金汇缴到住房公积金专户内，由受委托银行及管理中心计入职工住房公积金账户。</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第十四条  </w:t>
      </w:r>
      <w:r>
        <w:rPr>
          <w:rFonts w:hint="eastAsia" w:ascii="仿宋" w:hAnsi="仿宋" w:eastAsia="仿宋" w:cs="仿宋"/>
          <w:kern w:val="2"/>
          <w:sz w:val="32"/>
          <w:szCs w:val="32"/>
          <w:lang w:val="en-US" w:eastAsia="zh-CN" w:bidi="ar"/>
        </w:rPr>
        <w:t>单位应当按时、足额为职工缴存住房公积金，不得逾期缴存或者少缴。对缴存住房公积金确有困难的单位，经本单位职工代表大会或者工会讨论通过，由管理中心审核，经管委会批准，可以降低缴存比例或者缓缴；待单位经济效益好转后，再按规定恢复缴存并补缴少缴部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第十五条</w:t>
      </w:r>
      <w:r>
        <w:rPr>
          <w:rFonts w:hint="eastAsia" w:ascii="仿宋" w:hAnsi="仿宋" w:eastAsia="仿宋" w:cs="仿宋"/>
          <w:kern w:val="2"/>
          <w:sz w:val="32"/>
          <w:szCs w:val="32"/>
          <w:lang w:val="en-US" w:eastAsia="zh-CN" w:bidi="ar"/>
        </w:rPr>
        <w:t xml:space="preserve">  职工按照市人民政府规定的最低工资标准领取工资的，职工个人可以免缴住房公积金，职工所在单位应当以市人民政府规定的最低工资标准为基数，按照规定的缴存比例为职工缴存住房公积金。</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第十六条</w:t>
      </w:r>
      <w:r>
        <w:rPr>
          <w:rFonts w:hint="eastAsia" w:ascii="仿宋" w:hAnsi="仿宋" w:eastAsia="仿宋" w:cs="仿宋"/>
          <w:kern w:val="2"/>
          <w:sz w:val="32"/>
          <w:szCs w:val="32"/>
          <w:lang w:val="en-US" w:eastAsia="zh-CN" w:bidi="ar"/>
        </w:rPr>
        <w:t xml:space="preserve">  单位撤销、解散或者破产欠缴职工住房公积金本息的，比照所欠职工工资优先的原则予以偿还，缴入住房公积金专户。</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第十七条  </w:t>
      </w:r>
      <w:r>
        <w:rPr>
          <w:rFonts w:hint="eastAsia" w:ascii="仿宋" w:hAnsi="仿宋" w:eastAsia="仿宋" w:cs="仿宋"/>
          <w:kern w:val="2"/>
          <w:sz w:val="32"/>
          <w:szCs w:val="32"/>
          <w:lang w:val="en-US" w:eastAsia="zh-CN" w:bidi="ar"/>
        </w:rPr>
        <w:t>住房公积金自存入职工住房公积金账户之日起按照国家规定的利率计息。每年6月30日为住房公积金存款的结息日，结息后利息转入本金。</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Style w:val="11"/>
          <w:rFonts w:hint="eastAsia"/>
          <w:lang w:val="en-US" w:eastAsia="zh-CN"/>
        </w:rPr>
        <w:t>第十八条</w:t>
      </w:r>
      <w:r>
        <w:rPr>
          <w:rFonts w:hint="eastAsia" w:ascii="仿宋" w:hAnsi="仿宋" w:eastAsia="仿宋" w:cs="仿宋"/>
          <w:kern w:val="2"/>
          <w:sz w:val="32"/>
          <w:szCs w:val="32"/>
          <w:lang w:val="en-US" w:eastAsia="zh-CN" w:bidi="ar"/>
        </w:rPr>
        <w:t xml:space="preserve">  单位为职工缴存的住房公积金，按照下列规定列支：（一）机关在预算中列支；（二）事业单位由财政部门核定收支后，在预算或者费用中列支；（三）企业在成本中列支。</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2" w:name="_Toc31706"/>
      <w:r>
        <w:rPr>
          <w:rFonts w:hint="eastAsia"/>
          <w:lang w:val="en-US" w:eastAsia="zh-CN"/>
        </w:rPr>
        <w:t>第三章  转移与封存</w:t>
      </w:r>
      <w:bookmarkEnd w:id="2"/>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第十九条</w:t>
      </w:r>
      <w:r>
        <w:rPr>
          <w:rFonts w:hint="eastAsia" w:ascii="仿宋" w:hAnsi="仿宋" w:eastAsia="仿宋" w:cs="仿宋"/>
          <w:kern w:val="2"/>
          <w:sz w:val="32"/>
          <w:szCs w:val="32"/>
          <w:lang w:val="en-US" w:eastAsia="zh-CN" w:bidi="ar"/>
        </w:rPr>
        <w:t xml:space="preserve">  单位合并、分立的，原单位应当自发生合并或者分立之日起30日内，到</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管理中心办理住房公积金变更登记，并自办妥变更登记之日起20日内持管理中心的审核文件，为单位职工办理住房公积金账户转移手续。</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第二十条 </w:t>
      </w:r>
      <w:r>
        <w:rPr>
          <w:rFonts w:hint="eastAsia" w:ascii="仿宋" w:hAnsi="仿宋" w:eastAsia="仿宋" w:cs="仿宋"/>
          <w:kern w:val="2"/>
          <w:sz w:val="32"/>
          <w:szCs w:val="32"/>
          <w:lang w:val="en-US" w:eastAsia="zh-CN" w:bidi="ar"/>
        </w:rPr>
        <w:t xml:space="preserve"> 单位撤销、解散、破产的，原单位或者清算组织应当自发生上述情况之日起30日内到管理中心办理住房公积金注销登记，并自办妥注销登记之日起20日内持管理中心的审核文件，办理住房公积金账户转移手续，将职工住房公积金转入管理中心指定的封存账户，实行集中封存。</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第二十一条</w:t>
      </w:r>
      <w:r>
        <w:rPr>
          <w:rFonts w:hint="eastAsia" w:ascii="仿宋" w:hAnsi="仿宋" w:eastAsia="仿宋" w:cs="仿宋"/>
          <w:kern w:val="2"/>
          <w:sz w:val="32"/>
          <w:szCs w:val="32"/>
          <w:lang w:val="en-US" w:eastAsia="zh-CN" w:bidi="ar"/>
        </w:rPr>
        <w:t xml:space="preserve">  单位与职工终止劳动关系的，单位应当自劳动关系终止之日起30日内到管理中心办理变更登记，并持管理中心的审核文件，将职工住房公积金转入管理中心指定的封存账户，实行集中封存。单位与职工停止工资关系但尚未解除劳动关系的，单位应当自停止工资关系之日起30日内，到管理中心办理住房公积金账户封存手续，待工资关系恢复时，再办理启封手续，恢复缴存。</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第二十二条</w:t>
      </w:r>
      <w:r>
        <w:rPr>
          <w:rFonts w:hint="eastAsia" w:ascii="仿宋" w:hAnsi="仿宋" w:eastAsia="仿宋" w:cs="仿宋"/>
          <w:kern w:val="2"/>
          <w:sz w:val="32"/>
          <w:szCs w:val="32"/>
          <w:lang w:val="en-US" w:eastAsia="zh-CN" w:bidi="ar"/>
        </w:rPr>
        <w:t xml:space="preserve">  单位职工调出的，调出单位应当在职工调出之日起30日内，到管理中心办理变更登记，并持管理中心的审核文件，到受委托银行办理职工住房公积金账户转移手续。</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Style w:val="11"/>
          <w:rFonts w:hint="eastAsia"/>
          <w:lang w:val="en-US" w:eastAsia="zh-CN"/>
        </w:rPr>
        <w:t xml:space="preserve">第二十三条 </w:t>
      </w:r>
      <w:r>
        <w:rPr>
          <w:rFonts w:hint="eastAsia" w:ascii="仿宋" w:hAnsi="仿宋" w:eastAsia="仿宋" w:cs="仿宋"/>
          <w:kern w:val="2"/>
          <w:sz w:val="32"/>
          <w:szCs w:val="32"/>
          <w:lang w:val="en-US" w:eastAsia="zh-CN" w:bidi="ar"/>
        </w:rPr>
        <w:t xml:space="preserve"> 经批准缓缴住房公积金的单位，自批准之日起15日内，凭批准文件到管理中心办理缓缴登记，再到受委托银行办理账户封存手续。缓缴住房公积金的单位在批准期限内经济效益好转的或者批准期限到期后30日内，应当到管理中心办理住房公积金账户启封手续；批准期限到期后，仍需缓缴的，应当自到期之日起30日内重新办理缓缴审批手续和续封手续。</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3" w:name="_Toc23682"/>
      <w:r>
        <w:rPr>
          <w:rFonts w:hint="eastAsia"/>
          <w:lang w:val="en-US" w:eastAsia="zh-CN"/>
        </w:rPr>
        <w:t>第四章  提取和使用</w:t>
      </w:r>
      <w:bookmarkEnd w:id="3"/>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第二十四条 </w:t>
      </w:r>
      <w:r>
        <w:rPr>
          <w:rFonts w:hint="eastAsia" w:ascii="仿宋" w:hAnsi="仿宋" w:eastAsia="仿宋" w:cs="仿宋"/>
          <w:kern w:val="2"/>
          <w:sz w:val="32"/>
          <w:szCs w:val="32"/>
          <w:lang w:val="en-US" w:eastAsia="zh-CN" w:bidi="ar"/>
        </w:rPr>
        <w:t xml:space="preserve"> 职工符合下列情形之一的，可以提取职工住房公积金账户内的存储余额：（一）购买、建造、翻建、大修自住住房的；（二）离休、退休的；（三）完全丧失劳动能力，并与单位终止劳动关系的；（四）出境定居的；（五）偿还所购自住住房贷款本息的；（六）户口迁出本市，并与单位终止劳动关系的；（七）非本市常住户口或本市农业户口的职工，与单位终止劳动关系的；（八）与单位终止劳动关系，住房公积金转入管理中心指定的账户集中封存满2年仍未重新就业的。依照前款第（一）（五）项规定，在提取职工本人住房公积金存储余额不足时，其配偶可以提取住房公积金；依照前款第（二）（三）（四）（六）（七）（八）项规定，提取职工住房公积金的，应当同时注销职工住房公积金账户。职工死亡或者被宣告死亡的，职工的继承人、受遗赠人可以提取职工住房公积金账户内的存储余额；无继承人也无受遗赠人的，职工住房公积金账户内的存储余额纳入住房公积金的增值收益。</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第二十五条</w:t>
      </w:r>
      <w:r>
        <w:rPr>
          <w:rFonts w:hint="eastAsia" w:ascii="仿宋" w:hAnsi="仿宋" w:eastAsia="仿宋" w:cs="仿宋"/>
          <w:kern w:val="2"/>
          <w:sz w:val="32"/>
          <w:szCs w:val="32"/>
          <w:lang w:val="en-US" w:eastAsia="zh-CN" w:bidi="ar"/>
        </w:rPr>
        <w:t xml:space="preserve">  职工提取住房公积金的，应当出具有关证件和证明，向管理中心提出申请，管理中心应当自受理之日起3日内作出准予提取或者不准提取的决定，并通知申请人；准予提取的，由受委托银行办理支付手续。</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第二十六条</w:t>
      </w:r>
      <w:r>
        <w:rPr>
          <w:rFonts w:hint="eastAsia" w:ascii="仿宋" w:hAnsi="仿宋" w:eastAsia="仿宋" w:cs="仿宋"/>
          <w:kern w:val="2"/>
          <w:sz w:val="32"/>
          <w:szCs w:val="32"/>
          <w:lang w:val="en-US" w:eastAsia="zh-CN" w:bidi="ar"/>
        </w:rPr>
        <w:t xml:space="preserve">  缴存住房公积金的职工，在购买、建造、翻建、大修自住住房时，可以向管理中心申请住房公积金贷款，并提供担保。管理中心应当自受理申请之日起15日内作出准予贷款或者不准贷款的决定，并通知申请人；准予贷款的，由受委托银行办理贷款手续。住房公积金贷款的风险，由管理中心承担。</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第二十七条</w:t>
      </w:r>
      <w:r>
        <w:rPr>
          <w:rFonts w:hint="eastAsia" w:ascii="仿宋" w:hAnsi="仿宋" w:eastAsia="仿宋" w:cs="仿宋"/>
          <w:kern w:val="2"/>
          <w:sz w:val="32"/>
          <w:szCs w:val="32"/>
          <w:lang w:val="en-US" w:eastAsia="zh-CN" w:bidi="ar"/>
        </w:rPr>
        <w:t xml:space="preserve">  管理中心不得向他人提供担保。</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第二十八条</w:t>
      </w:r>
      <w:r>
        <w:rPr>
          <w:rFonts w:hint="eastAsia" w:ascii="仿宋" w:hAnsi="仿宋" w:eastAsia="仿宋" w:cs="仿宋"/>
          <w:kern w:val="2"/>
          <w:sz w:val="32"/>
          <w:szCs w:val="32"/>
          <w:lang w:val="en-US" w:eastAsia="zh-CN" w:bidi="ar"/>
        </w:rPr>
        <w:t xml:space="preserve">  住房公积金的增值收益应当存入管理中心在受委托银行开立的住房公</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Fonts w:hint="eastAsia" w:ascii="仿宋" w:hAnsi="仿宋" w:eastAsia="仿宋" w:cs="仿宋"/>
          <w:kern w:val="2"/>
          <w:sz w:val="32"/>
          <w:szCs w:val="32"/>
          <w:lang w:val="en-US" w:eastAsia="zh-CN" w:bidi="ar"/>
        </w:rPr>
        <w:t>积金增值收益专户，用于建立住房公积金贷款风险准备金、管理中心的管理费用和建设城市廉租住房的补充资金。</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4" w:name="_Toc703"/>
      <w:r>
        <w:rPr>
          <w:rFonts w:hint="eastAsia"/>
          <w:lang w:val="en-US" w:eastAsia="zh-CN"/>
        </w:rPr>
        <w:t>第五章  监    督</w:t>
      </w:r>
      <w:bookmarkEnd w:id="4"/>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第二十九条</w:t>
      </w:r>
      <w:r>
        <w:rPr>
          <w:rFonts w:hint="eastAsia" w:ascii="仿宋" w:hAnsi="仿宋" w:eastAsia="仿宋" w:cs="仿宋"/>
          <w:kern w:val="2"/>
          <w:sz w:val="32"/>
          <w:szCs w:val="32"/>
          <w:lang w:val="en-US" w:eastAsia="zh-CN" w:bidi="ar"/>
        </w:rPr>
        <w:t xml:space="preserve">  市财政部门应当加强对住房公积金归集、提取和使用情况的监督，并向管委会通报。管理中心在编制住房公积金归集、使用计划时，应当征求市财政部门的意见。管委会在审批住房公积金归集、使用计划和计划执行情况的报告时，必须有市财政部门参加。</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第三十条</w:t>
      </w:r>
      <w:r>
        <w:rPr>
          <w:rFonts w:hint="eastAsia" w:ascii="仿宋" w:hAnsi="仿宋" w:eastAsia="仿宋" w:cs="仿宋"/>
          <w:kern w:val="2"/>
          <w:sz w:val="32"/>
          <w:szCs w:val="32"/>
          <w:lang w:val="en-US" w:eastAsia="zh-CN" w:bidi="ar"/>
        </w:rPr>
        <w:t xml:space="preserve">  管理中心编制的住房公积金年度预算、决算，应当经市财政部门审核后，提交管委会审议。管理中心应当每年定期向市财政部门和管委会报送财务报告，并将财务报告于每年3月31日前向社会公布。</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第三十一条</w:t>
      </w:r>
      <w:r>
        <w:rPr>
          <w:rFonts w:hint="eastAsia" w:ascii="仿宋" w:hAnsi="仿宋" w:eastAsia="仿宋" w:cs="仿宋"/>
          <w:kern w:val="2"/>
          <w:sz w:val="32"/>
          <w:szCs w:val="32"/>
          <w:lang w:val="en-US" w:eastAsia="zh-CN" w:bidi="ar"/>
        </w:rPr>
        <w:t xml:space="preserve">  管理中心应当依法接受审计部门的审计监督。</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第三十二条</w:t>
      </w:r>
      <w:r>
        <w:rPr>
          <w:rFonts w:hint="eastAsia" w:ascii="仿宋" w:hAnsi="仿宋" w:eastAsia="仿宋" w:cs="仿宋"/>
          <w:kern w:val="2"/>
          <w:sz w:val="32"/>
          <w:szCs w:val="32"/>
          <w:lang w:val="en-US" w:eastAsia="zh-CN" w:bidi="ar"/>
        </w:rPr>
        <w:t xml:space="preserve">  管理中心和职工有权督促单位按时履行下列义务：（一）住房公积金的缴存登记或者变更、注销登记；（二）住房公积金账户的设立、转移或者封存；（三）足额缴存住房公积金。职工发现所在单位未按照规定履行上述义务的，可以向管理中心举报。管理中心可以对单位履行上述义务情况进行检查，被检查单位应当如实提供有关情况，不得拒绝。</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第三十三条</w:t>
      </w:r>
      <w:r>
        <w:rPr>
          <w:rFonts w:hint="eastAsia" w:ascii="仿宋" w:hAnsi="仿宋" w:eastAsia="仿宋" w:cs="仿宋"/>
          <w:kern w:val="2"/>
          <w:sz w:val="32"/>
          <w:szCs w:val="32"/>
          <w:lang w:val="en-US" w:eastAsia="zh-CN" w:bidi="ar"/>
        </w:rPr>
        <w:t xml:space="preserve">  管理中心应当督促受委托银行及时办理委托合同约定的存贷款、结算等金融业务。受委托银行应当按照委托合同的约定，定期向管理中心提供有关的业务资料。</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Style w:val="11"/>
          <w:rFonts w:hint="eastAsia"/>
          <w:lang w:val="en-US" w:eastAsia="zh-CN"/>
        </w:rPr>
        <w:t>第三十四条</w:t>
      </w:r>
      <w:r>
        <w:rPr>
          <w:rFonts w:hint="eastAsia" w:ascii="仿宋" w:hAnsi="仿宋" w:eastAsia="仿宋" w:cs="仿宋"/>
          <w:kern w:val="2"/>
          <w:sz w:val="32"/>
          <w:szCs w:val="32"/>
          <w:lang w:val="en-US" w:eastAsia="zh-CN" w:bidi="ar"/>
        </w:rPr>
        <w:t xml:space="preserve">  职工、单位有权查询本人、本单位住房公积金的缴存、提取等情况，管理中心和受委托银行不得拒绝。职工、单位对住房公积金账户内的存储余额有异议的，可以申请受委托银行复核；对复核结果有异议的，可以申请管理中心重新复核。受委托银行、管理中心应当自收到申请之日起5日内给予书面答复。</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5" w:name="_Toc15318"/>
      <w:r>
        <w:rPr>
          <w:rFonts w:hint="eastAsia"/>
          <w:lang w:val="en-US" w:eastAsia="zh-CN"/>
        </w:rPr>
        <w:t>第六章  法律责任</w:t>
      </w:r>
      <w:bookmarkEnd w:id="5"/>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第三十五条</w:t>
      </w:r>
      <w:r>
        <w:rPr>
          <w:rFonts w:hint="eastAsia" w:ascii="仿宋" w:hAnsi="仿宋" w:eastAsia="仿宋" w:cs="仿宋"/>
          <w:kern w:val="2"/>
          <w:sz w:val="32"/>
          <w:szCs w:val="32"/>
          <w:lang w:val="en-US" w:eastAsia="zh-CN" w:bidi="ar"/>
        </w:rPr>
        <w:t xml:space="preserve">  违反本条例的规定，单位不办理住房公积金缴存登记、变更登记或者不为本单位职工办理住房公积金账户设立手续的，由管理中心责令限期办理；逾期不办理的，处以1万元以上5万元以下的罚款。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第三十六条</w:t>
      </w:r>
      <w:r>
        <w:rPr>
          <w:rFonts w:hint="eastAsia" w:ascii="仿宋" w:hAnsi="仿宋" w:eastAsia="仿宋" w:cs="仿宋"/>
          <w:kern w:val="2"/>
          <w:sz w:val="32"/>
          <w:szCs w:val="32"/>
          <w:lang w:val="en-US" w:eastAsia="zh-CN" w:bidi="ar"/>
        </w:rPr>
        <w:t xml:space="preserve">  违反本条例的规定，单位逾期不缴或者少缴住房公积金的，由管理中心责令限期缴存；逾期仍不缴存的，可以申请人民法院强制执行。</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第三十七条</w:t>
      </w:r>
      <w:r>
        <w:rPr>
          <w:rFonts w:hint="eastAsia" w:ascii="仿宋" w:hAnsi="仿宋" w:eastAsia="仿宋" w:cs="仿宋"/>
          <w:kern w:val="2"/>
          <w:sz w:val="32"/>
          <w:szCs w:val="32"/>
          <w:lang w:val="en-US" w:eastAsia="zh-CN" w:bidi="ar"/>
        </w:rPr>
        <w:t xml:space="preserve">  违反本条例的规定，挪用住房公积金的，按照国家有关规定，追回挪用的住房公积金，没收违法所得；对挪用或者批准挪用住房公积金的负责人员和其他直接责任人员，构成犯罪的，依法追究刑事责任；尚不构成犯罪的，给予降级或者撤职的行政处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第三十八条</w:t>
      </w:r>
      <w:r>
        <w:rPr>
          <w:rFonts w:hint="eastAsia" w:ascii="仿宋" w:hAnsi="仿宋" w:eastAsia="仿宋" w:cs="仿宋"/>
          <w:kern w:val="2"/>
          <w:sz w:val="32"/>
          <w:szCs w:val="32"/>
          <w:lang w:val="en-US" w:eastAsia="zh-CN" w:bidi="ar"/>
        </w:rPr>
        <w:t xml:space="preserve">  管理中心违反财政法规的，由市财政部门依法给予行政处罚。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第三十九条</w:t>
      </w:r>
      <w:r>
        <w:rPr>
          <w:rFonts w:hint="eastAsia" w:ascii="仿宋" w:hAnsi="仿宋" w:eastAsia="仿宋" w:cs="仿宋"/>
          <w:kern w:val="2"/>
          <w:sz w:val="32"/>
          <w:szCs w:val="32"/>
          <w:lang w:val="en-US" w:eastAsia="zh-CN" w:bidi="ar"/>
        </w:rPr>
        <w:t xml:space="preserve">  违反本条例的规定，采取欺骗手段提取住房公积金的，由管理中心追回骗取的住房公积金，构成犯罪的，依法追究刑事责任；尚不构成犯罪的，依法给予行政处分。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第四十条</w:t>
      </w:r>
      <w:r>
        <w:rPr>
          <w:rFonts w:hint="eastAsia" w:ascii="仿宋" w:hAnsi="仿宋" w:eastAsia="仿宋" w:cs="仿宋"/>
          <w:kern w:val="2"/>
          <w:sz w:val="32"/>
          <w:szCs w:val="32"/>
          <w:lang w:val="en-US" w:eastAsia="zh-CN" w:bidi="ar"/>
        </w:rPr>
        <w:t xml:space="preserve">  违反本条例的规定，管理中心向他人提供担保的，对直接负责的主管人员和其他直接责任人员依法给予行政处分。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Style w:val="11"/>
          <w:rFonts w:hint="eastAsia"/>
          <w:lang w:val="en-US" w:eastAsia="zh-CN"/>
        </w:rPr>
        <w:t>第四十一条</w:t>
      </w:r>
      <w:r>
        <w:rPr>
          <w:rFonts w:hint="eastAsia" w:ascii="仿宋" w:hAnsi="仿宋" w:eastAsia="仿宋" w:cs="仿宋"/>
          <w:kern w:val="2"/>
          <w:sz w:val="32"/>
          <w:szCs w:val="32"/>
          <w:lang w:val="en-US" w:eastAsia="zh-CN" w:bidi="ar"/>
        </w:rPr>
        <w:t xml:space="preserve">  国家机关工作人员在住房公积金监督管理工作中滥用职权、玩忽职守、徇私舞弊，构成犯罪的，依法追究刑事责任；尚不构成犯罪的，依法给予行政处分。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6" w:name="_Toc16348"/>
      <w:r>
        <w:rPr>
          <w:rFonts w:hint="eastAsia"/>
          <w:lang w:val="en-US" w:eastAsia="zh-CN"/>
        </w:rPr>
        <w:t>第七章  附    则</w:t>
      </w:r>
      <w:bookmarkEnd w:id="6"/>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第四十二条</w:t>
      </w:r>
      <w:r>
        <w:rPr>
          <w:rFonts w:hint="eastAsia" w:ascii="仿宋" w:hAnsi="仿宋" w:eastAsia="仿宋" w:cs="仿宋"/>
          <w:kern w:val="2"/>
          <w:sz w:val="32"/>
          <w:szCs w:val="32"/>
          <w:lang w:val="en-US" w:eastAsia="zh-CN" w:bidi="ar"/>
        </w:rPr>
        <w:t xml:space="preserve">  本条例自2004年1月1日起施行。</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 w:hAnsi="仿宋" w:eastAsia="仿宋" w:cs="仿宋"/>
          <w:sz w:val="32"/>
          <w:szCs w:val="32"/>
        </w:rPr>
      </w:pPr>
    </w:p>
    <w:p>
      <w:pPr>
        <w:spacing w:line="560" w:lineRule="exact"/>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fill on="f" focussize="0,0"/>
              <v:stroke on="f"/>
              <v:imagedata o:title=""/>
              <o:lock v:ext="edit" aspectratio="f"/>
              <v:textbox inset="0mm,0mm,0mm,0mm" style="mso-fit-shape-to-text:t;">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59E36"/>
    <w:multiLevelType w:val="singleLevel"/>
    <w:tmpl w:val="58A59E36"/>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648C"/>
    <w:rsid w:val="00F07301"/>
    <w:rsid w:val="00F07CB3"/>
    <w:rsid w:val="00F1162A"/>
    <w:rsid w:val="00F12342"/>
    <w:rsid w:val="00F12359"/>
    <w:rsid w:val="00F130AF"/>
    <w:rsid w:val="00F21F94"/>
    <w:rsid w:val="00F23384"/>
    <w:rsid w:val="00F23B91"/>
    <w:rsid w:val="00F25BEF"/>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F29FF"/>
    <w:rsid w:val="01B07530"/>
    <w:rsid w:val="01C93546"/>
    <w:rsid w:val="022A532B"/>
    <w:rsid w:val="02706198"/>
    <w:rsid w:val="02BB10C4"/>
    <w:rsid w:val="02E335AF"/>
    <w:rsid w:val="034E4A22"/>
    <w:rsid w:val="037173F5"/>
    <w:rsid w:val="03E059D2"/>
    <w:rsid w:val="046B7EF9"/>
    <w:rsid w:val="047562DE"/>
    <w:rsid w:val="04900C53"/>
    <w:rsid w:val="049722EE"/>
    <w:rsid w:val="051A30BF"/>
    <w:rsid w:val="051B4077"/>
    <w:rsid w:val="053068BE"/>
    <w:rsid w:val="05BD73DC"/>
    <w:rsid w:val="06611DC8"/>
    <w:rsid w:val="06742669"/>
    <w:rsid w:val="068F1C88"/>
    <w:rsid w:val="06A52A2F"/>
    <w:rsid w:val="06BB1A3E"/>
    <w:rsid w:val="06C362B2"/>
    <w:rsid w:val="06D27684"/>
    <w:rsid w:val="06F47A3E"/>
    <w:rsid w:val="06FE4C7B"/>
    <w:rsid w:val="07C466F9"/>
    <w:rsid w:val="07F10DC0"/>
    <w:rsid w:val="07FE6FB6"/>
    <w:rsid w:val="080D3997"/>
    <w:rsid w:val="08935BC4"/>
    <w:rsid w:val="08E64EDB"/>
    <w:rsid w:val="08F76E4E"/>
    <w:rsid w:val="09303886"/>
    <w:rsid w:val="09545708"/>
    <w:rsid w:val="09B537A1"/>
    <w:rsid w:val="0AAD4A9B"/>
    <w:rsid w:val="0AF62434"/>
    <w:rsid w:val="0B201CF0"/>
    <w:rsid w:val="0B4724B0"/>
    <w:rsid w:val="0BAC149A"/>
    <w:rsid w:val="0C320844"/>
    <w:rsid w:val="0C58755E"/>
    <w:rsid w:val="0C6E62A7"/>
    <w:rsid w:val="0CAD576F"/>
    <w:rsid w:val="0D495165"/>
    <w:rsid w:val="0D970C3A"/>
    <w:rsid w:val="0DDF6E30"/>
    <w:rsid w:val="0DE04D9C"/>
    <w:rsid w:val="0F0732D8"/>
    <w:rsid w:val="0F2A4A63"/>
    <w:rsid w:val="0FE65D02"/>
    <w:rsid w:val="101843A9"/>
    <w:rsid w:val="10A646F2"/>
    <w:rsid w:val="10F055B0"/>
    <w:rsid w:val="113A565D"/>
    <w:rsid w:val="11A3282F"/>
    <w:rsid w:val="11BF194F"/>
    <w:rsid w:val="11E526F8"/>
    <w:rsid w:val="12032FD1"/>
    <w:rsid w:val="12501663"/>
    <w:rsid w:val="12921963"/>
    <w:rsid w:val="12FB32D9"/>
    <w:rsid w:val="131D114D"/>
    <w:rsid w:val="13675AF7"/>
    <w:rsid w:val="13881CB2"/>
    <w:rsid w:val="13AF0DB0"/>
    <w:rsid w:val="13D6470E"/>
    <w:rsid w:val="14093F1B"/>
    <w:rsid w:val="14725DF3"/>
    <w:rsid w:val="14BA20EB"/>
    <w:rsid w:val="14E4537D"/>
    <w:rsid w:val="152A714F"/>
    <w:rsid w:val="156D2257"/>
    <w:rsid w:val="15883D87"/>
    <w:rsid w:val="158A4D68"/>
    <w:rsid w:val="15AE338E"/>
    <w:rsid w:val="15D26080"/>
    <w:rsid w:val="160C6692"/>
    <w:rsid w:val="166F2CEE"/>
    <w:rsid w:val="168738C3"/>
    <w:rsid w:val="168C6C88"/>
    <w:rsid w:val="169C4C1E"/>
    <w:rsid w:val="16DE4F0A"/>
    <w:rsid w:val="17072161"/>
    <w:rsid w:val="171D4256"/>
    <w:rsid w:val="17305B1F"/>
    <w:rsid w:val="185D3EB2"/>
    <w:rsid w:val="18AD19C0"/>
    <w:rsid w:val="18F97311"/>
    <w:rsid w:val="19025465"/>
    <w:rsid w:val="192201FD"/>
    <w:rsid w:val="1930599F"/>
    <w:rsid w:val="194467B3"/>
    <w:rsid w:val="194739B0"/>
    <w:rsid w:val="194E1DDE"/>
    <w:rsid w:val="19A9569B"/>
    <w:rsid w:val="19BE4516"/>
    <w:rsid w:val="19C8553A"/>
    <w:rsid w:val="19EF167F"/>
    <w:rsid w:val="1A0B1E27"/>
    <w:rsid w:val="1A234E77"/>
    <w:rsid w:val="1A2C240B"/>
    <w:rsid w:val="1A513FF9"/>
    <w:rsid w:val="1ACC509D"/>
    <w:rsid w:val="1ADB0DA2"/>
    <w:rsid w:val="1B06088A"/>
    <w:rsid w:val="1B220777"/>
    <w:rsid w:val="1B574B73"/>
    <w:rsid w:val="1BC13337"/>
    <w:rsid w:val="1BF6420E"/>
    <w:rsid w:val="1C6540F3"/>
    <w:rsid w:val="1CAC6918"/>
    <w:rsid w:val="1CB53191"/>
    <w:rsid w:val="1CEB540E"/>
    <w:rsid w:val="1D5E4B71"/>
    <w:rsid w:val="1E1B06B9"/>
    <w:rsid w:val="1EBF613B"/>
    <w:rsid w:val="1EC36185"/>
    <w:rsid w:val="1F435EC9"/>
    <w:rsid w:val="1F503903"/>
    <w:rsid w:val="1F786767"/>
    <w:rsid w:val="1FA4765D"/>
    <w:rsid w:val="1FB16189"/>
    <w:rsid w:val="1FCF4B1D"/>
    <w:rsid w:val="1FD646DD"/>
    <w:rsid w:val="1FE2166B"/>
    <w:rsid w:val="20357325"/>
    <w:rsid w:val="204C24C3"/>
    <w:rsid w:val="20702194"/>
    <w:rsid w:val="20D005C2"/>
    <w:rsid w:val="21553C7F"/>
    <w:rsid w:val="222D2EDD"/>
    <w:rsid w:val="22320694"/>
    <w:rsid w:val="228E1A7C"/>
    <w:rsid w:val="22941ED8"/>
    <w:rsid w:val="23087A91"/>
    <w:rsid w:val="23471EE9"/>
    <w:rsid w:val="2352717F"/>
    <w:rsid w:val="237041E3"/>
    <w:rsid w:val="237431B0"/>
    <w:rsid w:val="247316FD"/>
    <w:rsid w:val="24887EA6"/>
    <w:rsid w:val="249204FC"/>
    <w:rsid w:val="24D25A92"/>
    <w:rsid w:val="251353A8"/>
    <w:rsid w:val="25865479"/>
    <w:rsid w:val="259B1E7E"/>
    <w:rsid w:val="265165AD"/>
    <w:rsid w:val="268F05CC"/>
    <w:rsid w:val="27411DBA"/>
    <w:rsid w:val="27544B9D"/>
    <w:rsid w:val="2770139F"/>
    <w:rsid w:val="27B71403"/>
    <w:rsid w:val="284A4E31"/>
    <w:rsid w:val="2859370C"/>
    <w:rsid w:val="28CC55C8"/>
    <w:rsid w:val="29070618"/>
    <w:rsid w:val="29E66142"/>
    <w:rsid w:val="2A024F82"/>
    <w:rsid w:val="2A76755E"/>
    <w:rsid w:val="2AB252CF"/>
    <w:rsid w:val="2ADF3094"/>
    <w:rsid w:val="2B7A4EFF"/>
    <w:rsid w:val="2B9076E2"/>
    <w:rsid w:val="2BD9140F"/>
    <w:rsid w:val="2BF67D7D"/>
    <w:rsid w:val="2C237419"/>
    <w:rsid w:val="2C531703"/>
    <w:rsid w:val="2C5B2BB8"/>
    <w:rsid w:val="2C69365C"/>
    <w:rsid w:val="2C8A703F"/>
    <w:rsid w:val="2CA624D2"/>
    <w:rsid w:val="2CAB2600"/>
    <w:rsid w:val="2CF6672E"/>
    <w:rsid w:val="2DED3F13"/>
    <w:rsid w:val="2E2B3406"/>
    <w:rsid w:val="2E4A7B35"/>
    <w:rsid w:val="2EE372C3"/>
    <w:rsid w:val="2F1A1FC9"/>
    <w:rsid w:val="2F943E4B"/>
    <w:rsid w:val="2FFB0F18"/>
    <w:rsid w:val="300D3841"/>
    <w:rsid w:val="3024185D"/>
    <w:rsid w:val="304A1A07"/>
    <w:rsid w:val="310A600B"/>
    <w:rsid w:val="318F3095"/>
    <w:rsid w:val="322054E2"/>
    <w:rsid w:val="32696861"/>
    <w:rsid w:val="32FD4595"/>
    <w:rsid w:val="335B5D3E"/>
    <w:rsid w:val="33907B65"/>
    <w:rsid w:val="33B15E67"/>
    <w:rsid w:val="340269D0"/>
    <w:rsid w:val="34412505"/>
    <w:rsid w:val="34D53C58"/>
    <w:rsid w:val="350202EE"/>
    <w:rsid w:val="350D0E7D"/>
    <w:rsid w:val="35687CE4"/>
    <w:rsid w:val="362C35A8"/>
    <w:rsid w:val="364F58B6"/>
    <w:rsid w:val="3681181F"/>
    <w:rsid w:val="36911E77"/>
    <w:rsid w:val="36932EDB"/>
    <w:rsid w:val="36B46682"/>
    <w:rsid w:val="3764581F"/>
    <w:rsid w:val="37BA5750"/>
    <w:rsid w:val="37CD16BE"/>
    <w:rsid w:val="38114365"/>
    <w:rsid w:val="38D67C8C"/>
    <w:rsid w:val="39023EF6"/>
    <w:rsid w:val="39256A34"/>
    <w:rsid w:val="39353471"/>
    <w:rsid w:val="39877ADA"/>
    <w:rsid w:val="39C27E4A"/>
    <w:rsid w:val="39CE6967"/>
    <w:rsid w:val="39EA2C12"/>
    <w:rsid w:val="3A144156"/>
    <w:rsid w:val="3A175EE4"/>
    <w:rsid w:val="3A7A48F4"/>
    <w:rsid w:val="3AA724BE"/>
    <w:rsid w:val="3B113C56"/>
    <w:rsid w:val="3B166EF3"/>
    <w:rsid w:val="3B2A1697"/>
    <w:rsid w:val="3B357729"/>
    <w:rsid w:val="3B6303A3"/>
    <w:rsid w:val="3B970652"/>
    <w:rsid w:val="3C63749C"/>
    <w:rsid w:val="3C7C0AD9"/>
    <w:rsid w:val="3CA27920"/>
    <w:rsid w:val="3CAF6491"/>
    <w:rsid w:val="3D8C7D9E"/>
    <w:rsid w:val="3DDC1CCC"/>
    <w:rsid w:val="3E062AFC"/>
    <w:rsid w:val="3E474407"/>
    <w:rsid w:val="3E5C4F83"/>
    <w:rsid w:val="3E5E374E"/>
    <w:rsid w:val="3EB96119"/>
    <w:rsid w:val="3EBF12C6"/>
    <w:rsid w:val="3ED661F9"/>
    <w:rsid w:val="3FC364AB"/>
    <w:rsid w:val="400F6405"/>
    <w:rsid w:val="401E686E"/>
    <w:rsid w:val="4068667C"/>
    <w:rsid w:val="406D3CCC"/>
    <w:rsid w:val="40BD4D08"/>
    <w:rsid w:val="40E206DE"/>
    <w:rsid w:val="411A6716"/>
    <w:rsid w:val="41674852"/>
    <w:rsid w:val="41715365"/>
    <w:rsid w:val="417F330F"/>
    <w:rsid w:val="418774A7"/>
    <w:rsid w:val="41B36892"/>
    <w:rsid w:val="423D0E1A"/>
    <w:rsid w:val="42BB3568"/>
    <w:rsid w:val="433618E3"/>
    <w:rsid w:val="43902F92"/>
    <w:rsid w:val="43BB5864"/>
    <w:rsid w:val="43D47283"/>
    <w:rsid w:val="44015158"/>
    <w:rsid w:val="443F6670"/>
    <w:rsid w:val="446964C0"/>
    <w:rsid w:val="44D65C21"/>
    <w:rsid w:val="45272B0A"/>
    <w:rsid w:val="455F48D6"/>
    <w:rsid w:val="45741C31"/>
    <w:rsid w:val="457B6D5D"/>
    <w:rsid w:val="457F1C35"/>
    <w:rsid w:val="45B17D82"/>
    <w:rsid w:val="45BD5D2A"/>
    <w:rsid w:val="46185497"/>
    <w:rsid w:val="46A94114"/>
    <w:rsid w:val="4747483B"/>
    <w:rsid w:val="4752024C"/>
    <w:rsid w:val="479D34DA"/>
    <w:rsid w:val="48384FF9"/>
    <w:rsid w:val="48B4556B"/>
    <w:rsid w:val="48D15C4E"/>
    <w:rsid w:val="4985592B"/>
    <w:rsid w:val="4A0B2CD5"/>
    <w:rsid w:val="4A312D13"/>
    <w:rsid w:val="4A431B58"/>
    <w:rsid w:val="4B2847BE"/>
    <w:rsid w:val="4B726BBC"/>
    <w:rsid w:val="4BB23436"/>
    <w:rsid w:val="4C4654A4"/>
    <w:rsid w:val="4C4C1D0E"/>
    <w:rsid w:val="4C9A4880"/>
    <w:rsid w:val="4D55097D"/>
    <w:rsid w:val="4D5E77CB"/>
    <w:rsid w:val="4D76741B"/>
    <w:rsid w:val="4D9B0A0F"/>
    <w:rsid w:val="4DB6051A"/>
    <w:rsid w:val="4DDD6FB3"/>
    <w:rsid w:val="4E060928"/>
    <w:rsid w:val="4E4468D4"/>
    <w:rsid w:val="4E5B5EB2"/>
    <w:rsid w:val="4E877F54"/>
    <w:rsid w:val="4E8B296E"/>
    <w:rsid w:val="4F3C0534"/>
    <w:rsid w:val="4F5F3126"/>
    <w:rsid w:val="4F7F7588"/>
    <w:rsid w:val="4FEE3C8F"/>
    <w:rsid w:val="501C3144"/>
    <w:rsid w:val="50343626"/>
    <w:rsid w:val="50D504DE"/>
    <w:rsid w:val="50EF7D38"/>
    <w:rsid w:val="51100F7F"/>
    <w:rsid w:val="5110162C"/>
    <w:rsid w:val="514D4ED0"/>
    <w:rsid w:val="51582E03"/>
    <w:rsid w:val="51AA3409"/>
    <w:rsid w:val="5212048B"/>
    <w:rsid w:val="52503D47"/>
    <w:rsid w:val="52C252CC"/>
    <w:rsid w:val="52D454F2"/>
    <w:rsid w:val="532E2091"/>
    <w:rsid w:val="542E3E3B"/>
    <w:rsid w:val="5454185E"/>
    <w:rsid w:val="5461053A"/>
    <w:rsid w:val="546C79AD"/>
    <w:rsid w:val="548328D3"/>
    <w:rsid w:val="54970FD2"/>
    <w:rsid w:val="54A05FA4"/>
    <w:rsid w:val="54E77D81"/>
    <w:rsid w:val="552672F6"/>
    <w:rsid w:val="55E1405A"/>
    <w:rsid w:val="561E045F"/>
    <w:rsid w:val="5651155E"/>
    <w:rsid w:val="56902235"/>
    <w:rsid w:val="579322BC"/>
    <w:rsid w:val="57DC07AC"/>
    <w:rsid w:val="58250A7C"/>
    <w:rsid w:val="585D0D73"/>
    <w:rsid w:val="5877287D"/>
    <w:rsid w:val="587E2B60"/>
    <w:rsid w:val="589C7904"/>
    <w:rsid w:val="58BF1CDD"/>
    <w:rsid w:val="59866208"/>
    <w:rsid w:val="59965ABB"/>
    <w:rsid w:val="5A7523CD"/>
    <w:rsid w:val="5AC874F0"/>
    <w:rsid w:val="5AE56123"/>
    <w:rsid w:val="5B407769"/>
    <w:rsid w:val="5BA0270B"/>
    <w:rsid w:val="5BB07EA3"/>
    <w:rsid w:val="5C175839"/>
    <w:rsid w:val="5CAE184C"/>
    <w:rsid w:val="5CCF3427"/>
    <w:rsid w:val="5CD958CD"/>
    <w:rsid w:val="5D557162"/>
    <w:rsid w:val="5E431810"/>
    <w:rsid w:val="5E654974"/>
    <w:rsid w:val="5E822C64"/>
    <w:rsid w:val="5E9E2143"/>
    <w:rsid w:val="5EA14CF3"/>
    <w:rsid w:val="5F9E0A02"/>
    <w:rsid w:val="602C263E"/>
    <w:rsid w:val="60307729"/>
    <w:rsid w:val="60337945"/>
    <w:rsid w:val="607A1087"/>
    <w:rsid w:val="60BF7B30"/>
    <w:rsid w:val="60DE1EFA"/>
    <w:rsid w:val="60E50712"/>
    <w:rsid w:val="620E1834"/>
    <w:rsid w:val="62281FEF"/>
    <w:rsid w:val="62492030"/>
    <w:rsid w:val="62D73A94"/>
    <w:rsid w:val="63194217"/>
    <w:rsid w:val="63305152"/>
    <w:rsid w:val="63550450"/>
    <w:rsid w:val="63B63C60"/>
    <w:rsid w:val="63BC4201"/>
    <w:rsid w:val="64426ECA"/>
    <w:rsid w:val="64450612"/>
    <w:rsid w:val="646A1271"/>
    <w:rsid w:val="646E44A6"/>
    <w:rsid w:val="656D328E"/>
    <w:rsid w:val="65883AB5"/>
    <w:rsid w:val="65F50F8E"/>
    <w:rsid w:val="66312549"/>
    <w:rsid w:val="66397A67"/>
    <w:rsid w:val="66875EE0"/>
    <w:rsid w:val="67C00163"/>
    <w:rsid w:val="68710EE3"/>
    <w:rsid w:val="688D12C9"/>
    <w:rsid w:val="68B257B8"/>
    <w:rsid w:val="69405CFD"/>
    <w:rsid w:val="69EC4C56"/>
    <w:rsid w:val="69F42D6B"/>
    <w:rsid w:val="6A0C5365"/>
    <w:rsid w:val="6A5C7947"/>
    <w:rsid w:val="6A6D3308"/>
    <w:rsid w:val="6A9402CC"/>
    <w:rsid w:val="6AC55297"/>
    <w:rsid w:val="6AF6102C"/>
    <w:rsid w:val="6B114C1A"/>
    <w:rsid w:val="6B5E7080"/>
    <w:rsid w:val="6B7B5383"/>
    <w:rsid w:val="6B7F0D8F"/>
    <w:rsid w:val="6BB6752A"/>
    <w:rsid w:val="6BB85749"/>
    <w:rsid w:val="6C1B1768"/>
    <w:rsid w:val="6DAC0B96"/>
    <w:rsid w:val="6DF9485E"/>
    <w:rsid w:val="6E2C5A0D"/>
    <w:rsid w:val="6F5F48E4"/>
    <w:rsid w:val="6F6019D1"/>
    <w:rsid w:val="6F8C77B6"/>
    <w:rsid w:val="6FC32718"/>
    <w:rsid w:val="70252703"/>
    <w:rsid w:val="70543150"/>
    <w:rsid w:val="7076728C"/>
    <w:rsid w:val="70C715EC"/>
    <w:rsid w:val="7118323A"/>
    <w:rsid w:val="71307C87"/>
    <w:rsid w:val="713D0CB0"/>
    <w:rsid w:val="72863E4F"/>
    <w:rsid w:val="728B3C94"/>
    <w:rsid w:val="72A67657"/>
    <w:rsid w:val="73000CF9"/>
    <w:rsid w:val="73126A27"/>
    <w:rsid w:val="73C94A09"/>
    <w:rsid w:val="73DC46E0"/>
    <w:rsid w:val="73F03AA8"/>
    <w:rsid w:val="74123FA8"/>
    <w:rsid w:val="74154608"/>
    <w:rsid w:val="741A26D9"/>
    <w:rsid w:val="746D05F1"/>
    <w:rsid w:val="74D27347"/>
    <w:rsid w:val="74E4025B"/>
    <w:rsid w:val="75342426"/>
    <w:rsid w:val="755E7366"/>
    <w:rsid w:val="75615004"/>
    <w:rsid w:val="757B1C85"/>
    <w:rsid w:val="76AE4031"/>
    <w:rsid w:val="76B07C6D"/>
    <w:rsid w:val="771D706E"/>
    <w:rsid w:val="77464ED6"/>
    <w:rsid w:val="78153E8C"/>
    <w:rsid w:val="78343CE1"/>
    <w:rsid w:val="788C033F"/>
    <w:rsid w:val="78F718E7"/>
    <w:rsid w:val="79BE26D1"/>
    <w:rsid w:val="79BE5BBE"/>
    <w:rsid w:val="79C52AA7"/>
    <w:rsid w:val="79E42E56"/>
    <w:rsid w:val="7B6332DF"/>
    <w:rsid w:val="7B642DC3"/>
    <w:rsid w:val="7B9E0270"/>
    <w:rsid w:val="7C442459"/>
    <w:rsid w:val="7C7B6F55"/>
    <w:rsid w:val="7CAF622F"/>
    <w:rsid w:val="7CC30F06"/>
    <w:rsid w:val="7D327789"/>
    <w:rsid w:val="7DFD0298"/>
    <w:rsid w:val="7E1356DA"/>
    <w:rsid w:val="7EE73054"/>
    <w:rsid w:val="7F321906"/>
    <w:rsid w:val="7FC53A36"/>
    <w:rsid w:val="7FE54E46"/>
    <w:rsid w:val="7FF53094"/>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2"/>
    <w:qFormat/>
    <w:uiPriority w:val="0"/>
    <w:pPr>
      <w:keepNext/>
      <w:keepLines/>
      <w:spacing w:beforeAutospacing="0" w:afterAutospacing="0" w:line="560" w:lineRule="exact"/>
      <w:jc w:val="center"/>
      <w:outlineLvl w:val="0"/>
    </w:pPr>
    <w:rPr>
      <w:rFonts w:eastAsia="黑体"/>
      <w:kern w:val="44"/>
      <w:sz w:val="32"/>
      <w:szCs w:val="20"/>
    </w:rPr>
  </w:style>
  <w:style w:type="paragraph" w:styleId="3">
    <w:name w:val="heading 2"/>
    <w:basedOn w:val="1"/>
    <w:next w:val="1"/>
    <w:link w:val="11"/>
    <w:qFormat/>
    <w:uiPriority w:val="0"/>
    <w:pPr>
      <w:keepNext/>
      <w:keepLines/>
      <w:spacing w:beforeLines="0" w:beforeAutospacing="0" w:afterLines="0" w:afterAutospacing="0" w:line="560" w:lineRule="exact"/>
      <w:ind w:firstLine="640" w:firstLineChars="200"/>
      <w:outlineLvl w:val="1"/>
    </w:pPr>
    <w:rPr>
      <w:rFonts w:ascii="Arial" w:hAnsi="Arial" w:eastAsia="黑体"/>
      <w:kern w:val="0"/>
      <w:sz w:val="32"/>
      <w:szCs w:val="20"/>
    </w:rPr>
  </w:style>
  <w:style w:type="paragraph" w:styleId="4">
    <w:name w:val="heading 3"/>
    <w:basedOn w:val="1"/>
    <w:next w:val="1"/>
    <w:qFormat/>
    <w:uiPriority w:val="9"/>
    <w:pPr>
      <w:keepNext/>
      <w:keepLines/>
      <w:spacing w:before="200" w:beforeLines="200" w:beforeAutospacing="0" w:after="100" w:afterLines="100" w:afterAutospacing="0" w:line="560" w:lineRule="exact"/>
      <w:jc w:val="center"/>
      <w:outlineLvl w:val="2"/>
    </w:pPr>
    <w:rPr>
      <w:sz w:val="44"/>
    </w:rPr>
  </w:style>
  <w:style w:type="character" w:default="1" w:styleId="8">
    <w:name w:val="Default Paragraph Font"/>
    <w:unhideWhenUsed/>
    <w:qFormat/>
    <w:uiPriority w:val="1"/>
  </w:style>
  <w:style w:type="table" w:default="1" w:styleId="9">
    <w:name w:val="Normal Table"/>
    <w:unhideWhenUsed/>
    <w:qFormat/>
    <w:uiPriority w:val="99"/>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5">
    <w:name w:val="footer"/>
    <w:basedOn w:val="1"/>
    <w:unhideWhenUsed/>
    <w:qFormat/>
    <w:uiPriority w:val="99"/>
    <w:pPr>
      <w:tabs>
        <w:tab w:val="center" w:pos="4153"/>
        <w:tab w:val="right" w:pos="8306"/>
      </w:tabs>
      <w:snapToGrid w:val="0"/>
      <w:jc w:val="left"/>
    </w:pPr>
    <w:rPr>
      <w:sz w:val="18"/>
    </w:rPr>
  </w:style>
  <w:style w:type="paragraph" w:styleId="6">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unhideWhenUsed/>
    <w:uiPriority w:val="39"/>
    <w:pPr>
      <w:spacing w:line="560" w:lineRule="exact"/>
      <w:ind w:left="630" w:leftChars="300" w:right="630" w:rightChars="300"/>
    </w:pPr>
    <w:rPr>
      <w:rFonts w:eastAsia="楷体"/>
      <w:sz w:val="32"/>
    </w:rPr>
  </w:style>
  <w:style w:type="paragraph" w:customStyle="1" w:styleId="10">
    <w:name w:val="目录"/>
    <w:basedOn w:val="1"/>
    <w:qFormat/>
    <w:uiPriority w:val="0"/>
    <w:pPr>
      <w:spacing w:line="560" w:lineRule="exact"/>
      <w:ind w:firstLine="640" w:firstLineChars="200"/>
      <w:jc w:val="both"/>
    </w:pPr>
    <w:rPr>
      <w:rFonts w:eastAsia="楷体"/>
      <w:sz w:val="32"/>
    </w:rPr>
  </w:style>
  <w:style w:type="character" w:customStyle="1" w:styleId="11">
    <w:name w:val="标题 2 Char"/>
    <w:link w:val="3"/>
    <w:qFormat/>
    <w:uiPriority w:val="0"/>
    <w:rPr>
      <w:rFonts w:ascii="Arial" w:hAnsi="Arial" w:eastAsia="黑体"/>
      <w:sz w:val="32"/>
    </w:rPr>
  </w:style>
  <w:style w:type="character" w:customStyle="1" w:styleId="12">
    <w:name w:val="标题 1 Char"/>
    <w:link w:val="2"/>
    <w:qFormat/>
    <w:uiPriority w:val="0"/>
    <w:rPr>
      <w:rFonts w:ascii="Calibri" w:hAnsi="Calibri" w:eastAsia="黑体"/>
      <w:kern w:val="44"/>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9</Pages>
  <Words>562</Words>
  <Characters>3204</Characters>
  <Lines>26</Lines>
  <Paragraphs>7</Paragraphs>
  <ScaleCrop>false</ScaleCrop>
  <LinksUpToDate>false</LinksUpToDate>
  <CharactersWithSpaces>3759</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2016-08-23T02:18:00Z</dcterms:created>
  <dc:creator>Sky123.Org</dc:creator>
  <cp:lastModifiedBy>Administrator</cp:lastModifiedBy>
  <dcterms:modified xsi:type="dcterms:W3CDTF">2017-02-16T16:41:10Z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