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60" w:lineRule="exact"/>
        <w:ind w:left="0" w:leftChars="0" w:right="0" w:rightChars="0" w:firstLine="0" w:firstLineChars="0"/>
        <w:jc w:val="center"/>
        <w:textAlignment w:val="auto"/>
        <w:outlineLvl w:val="2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560" w:lineRule="exact"/>
        <w:ind w:left="0" w:leftChars="0" w:right="0" w:rightChars="0" w:firstLine="0" w:firstLineChars="0"/>
        <w:jc w:val="center"/>
        <w:textAlignment w:val="auto"/>
        <w:outlineLvl w:val="2"/>
      </w:pPr>
      <w:r>
        <w:rPr>
          <w:rFonts w:hint="eastAsia"/>
        </w:rPr>
        <w:t>沈阳市故宫、福陵和昭陵保护条例</w:t>
      </w:r>
    </w:p>
    <w:p>
      <w:pPr>
        <w:pStyle w:val="7"/>
        <w:rPr>
          <w:rFonts w:hint="eastAsia"/>
        </w:rPr>
      </w:pPr>
    </w:p>
    <w:p>
      <w:pPr>
        <w:pStyle w:val="7"/>
      </w:pPr>
      <w:bookmarkStart w:id="5" w:name="_GoBack"/>
      <w:bookmarkEnd w:id="5"/>
      <w:r>
        <w:rPr>
          <w:rFonts w:hint="eastAsia"/>
        </w:rPr>
        <w:t>（2003年4月23日沈阳市第十三届人民代表大会常务委员会第二次会议通过  2003年5月28日辽宁省第十届人民代表大会常务委员会第二次会议批准）</w:t>
      </w:r>
    </w:p>
    <w:p>
      <w:pPr>
        <w:spacing w:line="560" w:lineRule="exact"/>
        <w:ind w:firstLine="640" w:firstLineChars="200"/>
        <w:rPr>
          <w:rFonts w:ascii="楷体" w:hAnsi="楷体" w:eastAsia="楷体" w:cs="楷体"/>
          <w:sz w:val="32"/>
          <w:szCs w:val="32"/>
        </w:rPr>
      </w:pPr>
    </w:p>
    <w:p>
      <w:pPr>
        <w:spacing w:line="560" w:lineRule="exact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目    录</w:t>
      </w:r>
    </w:p>
    <w:p>
      <w:pPr>
        <w:spacing w:line="560" w:lineRule="exact"/>
        <w:jc w:val="center"/>
        <w:rPr>
          <w:rFonts w:ascii="楷体" w:hAnsi="楷体" w:eastAsia="楷体" w:cs="楷体"/>
          <w:sz w:val="32"/>
          <w:szCs w:val="32"/>
        </w:rPr>
      </w:pPr>
    </w:p>
    <w:p>
      <w:pPr>
        <w:pStyle w:val="10"/>
        <w:ind w:firstLine="64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"1-1" \n 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"_Toc24868" </w:instrText>
      </w:r>
      <w:r>
        <w:fldChar w:fldCharType="separate"/>
      </w:r>
      <w:r>
        <w:rPr>
          <w:rFonts w:hint="eastAsia"/>
        </w:rPr>
        <w:t>第一章  总    则</w:t>
      </w:r>
      <w:r>
        <w:rPr>
          <w:rFonts w:hint="eastAsia"/>
        </w:rPr>
        <w:fldChar w:fldCharType="end"/>
      </w:r>
    </w:p>
    <w:p>
      <w:pPr>
        <w:pStyle w:val="10"/>
        <w:ind w:firstLine="640"/>
      </w:pPr>
      <w:r>
        <w:fldChar w:fldCharType="begin"/>
      </w:r>
      <w:r>
        <w:instrText xml:space="preserve"> HYPERLINK \l "_Toc17537" </w:instrText>
      </w:r>
      <w:r>
        <w:fldChar w:fldCharType="separate"/>
      </w:r>
      <w:r>
        <w:rPr>
          <w:rFonts w:hint="eastAsia"/>
        </w:rPr>
        <w:t>第二章  保护范围和建设控制地带</w:t>
      </w:r>
      <w:r>
        <w:rPr>
          <w:rFonts w:hint="eastAsia"/>
        </w:rPr>
        <w:fldChar w:fldCharType="end"/>
      </w:r>
    </w:p>
    <w:p>
      <w:pPr>
        <w:pStyle w:val="10"/>
        <w:ind w:firstLine="640"/>
      </w:pPr>
      <w:r>
        <w:fldChar w:fldCharType="begin"/>
      </w:r>
      <w:r>
        <w:instrText xml:space="preserve"> HYPERLINK \l "_Toc10779" </w:instrText>
      </w:r>
      <w:r>
        <w:fldChar w:fldCharType="separate"/>
      </w:r>
      <w:r>
        <w:rPr>
          <w:rFonts w:hint="eastAsia"/>
        </w:rPr>
        <w:t>第三章  保护措施</w:t>
      </w:r>
      <w:r>
        <w:rPr>
          <w:rFonts w:hint="eastAsia"/>
        </w:rPr>
        <w:fldChar w:fldCharType="end"/>
      </w:r>
    </w:p>
    <w:p>
      <w:pPr>
        <w:pStyle w:val="10"/>
        <w:ind w:firstLine="640"/>
      </w:pPr>
      <w:r>
        <w:fldChar w:fldCharType="begin"/>
      </w:r>
      <w:r>
        <w:instrText xml:space="preserve"> HYPERLINK \l "_Toc29415" </w:instrText>
      </w:r>
      <w:r>
        <w:fldChar w:fldCharType="separate"/>
      </w:r>
      <w:r>
        <w:rPr>
          <w:rFonts w:hint="eastAsia"/>
        </w:rPr>
        <w:t>第四章  法律责任</w:t>
      </w:r>
      <w:r>
        <w:rPr>
          <w:rFonts w:hint="eastAsia"/>
        </w:rPr>
        <w:fldChar w:fldCharType="end"/>
      </w:r>
    </w:p>
    <w:p>
      <w:pPr>
        <w:pStyle w:val="10"/>
        <w:ind w:firstLine="640"/>
      </w:pPr>
      <w:r>
        <w:fldChar w:fldCharType="begin"/>
      </w:r>
      <w:r>
        <w:instrText xml:space="preserve"> HYPERLINK \l "_Toc29098" </w:instrText>
      </w:r>
      <w:r>
        <w:fldChar w:fldCharType="separate"/>
      </w:r>
      <w:r>
        <w:rPr>
          <w:rFonts w:hint="eastAsia"/>
        </w:rPr>
        <w:t>第五章  附    则</w:t>
      </w:r>
      <w:r>
        <w:rPr>
          <w:rFonts w:hint="eastAsia"/>
        </w:rPr>
        <w:fldChar w:fldCharType="end"/>
      </w:r>
    </w:p>
    <w:p>
      <w:pPr>
        <w:pStyle w:val="10"/>
        <w:ind w:firstLine="640"/>
        <w:rPr>
          <w:rFonts w:ascii="楷体" w:hAnsi="楷体" w:cs="楷体"/>
          <w:szCs w:val="32"/>
        </w:rPr>
      </w:pPr>
      <w:r>
        <w:rPr>
          <w:rFonts w:hint="eastAsia"/>
        </w:rPr>
        <w:fldChar w:fldCharType="end"/>
      </w:r>
    </w:p>
    <w:p>
      <w:pPr>
        <w:pStyle w:val="2"/>
      </w:pPr>
      <w:bookmarkStart w:id="0" w:name="_Toc24868"/>
      <w:r>
        <w:rPr>
          <w:rFonts w:hint="eastAsia"/>
        </w:rPr>
        <w:t>第一章  总    则</w:t>
      </w:r>
      <w:bookmarkEnd w:id="0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第一条</w:t>
      </w:r>
      <w:r>
        <w:rPr>
          <w:rFonts w:hint="eastAsia" w:ascii="仿宋" w:hAnsi="仿宋" w:eastAsia="仿宋" w:cs="仿宋"/>
          <w:sz w:val="32"/>
          <w:szCs w:val="32"/>
        </w:rPr>
        <w:t xml:space="preserve">  为加强对故宫、福陵和昭陵（以下简称“一宫两陵”）的保护，继承中华民族优秀历史文化遗产，根据《中华人民共和国文物保护法》和有关法律、法规的规定，结合本市实际，制定本条例。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第二条 </w:t>
      </w:r>
      <w:r>
        <w:rPr>
          <w:rFonts w:hint="eastAsia" w:ascii="仿宋" w:hAnsi="仿宋" w:eastAsia="仿宋" w:cs="仿宋"/>
          <w:sz w:val="32"/>
          <w:szCs w:val="32"/>
        </w:rPr>
        <w:t xml:space="preserve"> 本条例适用于“一宫两陵”保护范围和建设控制地带内的文物保护工作。凡在“一宫两陵”保护范围和建设控制地带内，从事规划、建设以及进入“一宫两陵”参观、游览、考察或进行其他活动的单位和个人，均应遵守本条例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第三条</w:t>
      </w:r>
      <w:r>
        <w:rPr>
          <w:rFonts w:hint="eastAsia" w:ascii="仿宋" w:hAnsi="仿宋" w:eastAsia="仿宋" w:cs="仿宋"/>
          <w:sz w:val="32"/>
          <w:szCs w:val="32"/>
        </w:rPr>
        <w:t xml:space="preserve">  市人民政府负责“一宫两陵”的保护工作。市文物行政部门对“一宫两陵”的保护实施监督管理。“一宫两陵”的管理单位分别负责“一宫两陵”的保护、修缮和管理工作。市城建管理、城市规划、环境保护、公安、工商和旅游等有关行政部门应在各自的职责范围内，做好“一宫两陵”的保护工作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第四条</w:t>
      </w:r>
      <w:r>
        <w:rPr>
          <w:rFonts w:hint="eastAsia" w:ascii="仿宋" w:hAnsi="仿宋" w:eastAsia="仿宋" w:cs="仿宋"/>
          <w:sz w:val="32"/>
          <w:szCs w:val="32"/>
        </w:rPr>
        <w:t xml:space="preserve">  “一宫两陵”保护工作应当贯彻保护为主、抢救第一、合理利用、加强管理的方针。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第五条</w:t>
      </w:r>
      <w:r>
        <w:rPr>
          <w:rFonts w:hint="eastAsia" w:ascii="仿宋" w:hAnsi="仿宋" w:eastAsia="仿宋" w:cs="仿宋"/>
          <w:sz w:val="32"/>
          <w:szCs w:val="32"/>
        </w:rPr>
        <w:t xml:space="preserve">  市人民政府应当将“一宫两陵”保护纳入国民经济和社会发展规划，所需经费列入本级财政预算。鼓励通过捐赠等方式设立文物保护社会基金，用于“一宫两陵”的保护工作。“一宫两陵”的保护经费必须专款专用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第六条</w:t>
      </w:r>
      <w:r>
        <w:rPr>
          <w:rFonts w:hint="eastAsia" w:ascii="仿宋" w:hAnsi="仿宋" w:eastAsia="仿宋" w:cs="仿宋"/>
          <w:sz w:val="32"/>
          <w:szCs w:val="32"/>
        </w:rPr>
        <w:t xml:space="preserve">  市人民政府应当加强“一宫两陵”保护的宣传教育，增强全民文物保护意识，鼓励和支持文物保护的科学研究，提高文物保护的科学技术水平。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第七条</w:t>
      </w:r>
      <w:r>
        <w:rPr>
          <w:rFonts w:hint="eastAsia" w:ascii="仿宋" w:hAnsi="仿宋" w:eastAsia="仿宋" w:cs="仿宋"/>
          <w:sz w:val="32"/>
          <w:szCs w:val="32"/>
        </w:rPr>
        <w:t xml:space="preserve">  “一宫两陵”保护管理机构及其工作人员应当严格执法，文明服务，提高保护管理的水平。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第八条</w:t>
      </w:r>
      <w:r>
        <w:rPr>
          <w:rFonts w:hint="eastAsia" w:ascii="仿宋" w:hAnsi="仿宋" w:eastAsia="仿宋" w:cs="仿宋"/>
          <w:sz w:val="32"/>
          <w:szCs w:val="32"/>
        </w:rPr>
        <w:t xml:space="preserve">  一切机关、组织和个人都有依法保护“一宫两陵”的义务。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pStyle w:val="2"/>
      </w:pPr>
      <w:bookmarkStart w:id="1" w:name="_Toc17537"/>
      <w:r>
        <w:rPr>
          <w:rFonts w:hint="eastAsia"/>
        </w:rPr>
        <w:t>第二章  保护范围和建设控制地带</w:t>
      </w:r>
      <w:bookmarkEnd w:id="1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第九条</w:t>
      </w:r>
      <w:r>
        <w:rPr>
          <w:rFonts w:hint="eastAsia" w:ascii="仿宋" w:hAnsi="仿宋" w:eastAsia="仿宋" w:cs="仿宋"/>
          <w:sz w:val="32"/>
          <w:szCs w:val="32"/>
        </w:rPr>
        <w:t xml:space="preserve">  “一宫两陵”的保护范围划分为重点保护区和一般保护区。在“一宫两陵”的保护范围以外，划定建设控制地带。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第十条</w:t>
      </w:r>
      <w:r>
        <w:rPr>
          <w:rFonts w:hint="eastAsia" w:ascii="仿宋" w:hAnsi="仿宋" w:eastAsia="仿宋" w:cs="仿宋"/>
          <w:sz w:val="32"/>
          <w:szCs w:val="32"/>
        </w:rPr>
        <w:t xml:space="preserve">  故宫的重点保护区：北院红墙以内及墙外东、北侧各15米，西侧至正阳街东侧边线，南至沈阳路南侧边线；南院为院内及院墙外东、南、西侧各9米以内。故宫的一般保护区：北院自重点保护区外，东、北、西各45米，南30米以内；南院自重点保护区外，东、南、西各21米以内。故宫的建设控制地带：保护范围外东至东顺城街西边线，南至南顺城路北边线，西至西顺城街东边线，北至北顺城路南边线。在建设控制地带内的建设控制高度为：（一）北墙外60米至120米之间为9米以下，120米至180米之间为12米以下，180米至中街路中心线之间为15米以下，中街路中心线以北60米以内为18米以下，中街路中心线以北60米至北中街路南边线之间为24米以下，北中街路北边线至北顺城路南边线之间为24—30米；（二）东墙外60米至120米之间为9米以下，120米至180米之间为12米以下，180米至朝阳街中心线之间为18米以下，朝阳街中心线以东60米以内为24米以下，朝阳街中心线以东60米至东顺城街西边线之间为24—30米；（三）西墙外60米至120米之间为12米以下，120米至180米之间为18米以下，180米至240米之间为24米以下，240米至西顺城街东边线之间为24—30米；（四）南侧保护范围外60米以内为12米以下，60米至120米之间为18米以下，120米至180米之间为24米以下，180米至南顺城路北边线之间为24—30米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第十一条 </w:t>
      </w:r>
      <w:r>
        <w:rPr>
          <w:rFonts w:hint="eastAsia" w:ascii="仿宋" w:hAnsi="仿宋" w:eastAsia="仿宋" w:cs="仿宋"/>
          <w:sz w:val="32"/>
          <w:szCs w:val="32"/>
        </w:rPr>
        <w:t xml:space="preserve"> 福陵的重点保护区：红墙以内。福陵的一般保护区：红墙外，东、西、北各120米以内，南138米以内。福陵的建设控制地带：保护范围外北至公园围墙，东至公园围墙及该围墙至浑河北岸边线的延长线，西至三环高速公路，南至浑河北岸边线。在建设控制地带内，公园围墙内建设控制高度为6米以下；公园围墙外建筑物、构筑物的高度和建筑风格应与福陵风貌相协调。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第十二条</w:t>
      </w:r>
      <w:r>
        <w:rPr>
          <w:rFonts w:hint="eastAsia" w:ascii="仿宋" w:hAnsi="仿宋" w:eastAsia="仿宋" w:cs="仿宋"/>
          <w:sz w:val="32"/>
          <w:szCs w:val="32"/>
        </w:rPr>
        <w:t xml:space="preserve">  昭陵的重点保护区：红墙以内。昭陵的一般保护区：红墙外，东、西、北各120米以内，南180米以内，御道中心线两侧各60米以内。昭陵的建设控制地带：保护范围外北至二环路南边线，东至陵东街西边线，南至泰山路北边线，西至黄河大街东边线。在建设控制地带内，公园围墙内建设控制高度为6米以下；公园围墙外的建筑物、构筑物的高度和建筑风格应与昭陵风貌相协调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pStyle w:val="2"/>
      </w:pPr>
      <w:bookmarkStart w:id="2" w:name="_Toc10779"/>
      <w:r>
        <w:rPr>
          <w:rFonts w:hint="eastAsia"/>
        </w:rPr>
        <w:t>第三章  保护措施</w:t>
      </w:r>
      <w:bookmarkEnd w:id="2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第十三条</w:t>
      </w:r>
      <w:r>
        <w:rPr>
          <w:rFonts w:hint="eastAsia" w:ascii="仿宋" w:hAnsi="仿宋" w:eastAsia="仿宋" w:cs="仿宋"/>
          <w:sz w:val="32"/>
          <w:szCs w:val="32"/>
        </w:rPr>
        <w:t xml:space="preserve">  市人民政府应当设立“一宫两陵”标志说明。任何单位和个人不得擅自移动、损毁和拆除“一宫两陵”标志说明。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第十四条</w:t>
      </w:r>
      <w:r>
        <w:rPr>
          <w:rFonts w:hint="eastAsia" w:ascii="仿宋" w:hAnsi="仿宋" w:eastAsia="仿宋" w:cs="仿宋"/>
          <w:sz w:val="32"/>
          <w:szCs w:val="32"/>
        </w:rPr>
        <w:t xml:space="preserve">  “一宫两陵”的文物维修工程必须依法上报批准，并由取得文物保护工程资质证书的单位承担。未经批准，任何单位和个人不得对“一宫两陵”进行修缮、复原等文物维修。对“一宫两陵”进行修缮、保养等文物维修必须遵守不改变文物原状的原则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第十五条</w:t>
      </w:r>
      <w:r>
        <w:rPr>
          <w:rFonts w:hint="eastAsia" w:ascii="仿宋" w:hAnsi="仿宋" w:eastAsia="仿宋" w:cs="仿宋"/>
          <w:sz w:val="32"/>
          <w:szCs w:val="32"/>
        </w:rPr>
        <w:t xml:space="preserve">  在“一宫西陵”保护范围内不得进行其他建设工程或者爆破、钻探、挖掘等作业。因特殊情况需要在“一宫两陵”保护范围内进行上述建设工程和作业的，必须保证“一宫两陵”的安全，并经市人民政府同意后，报省人民政府批准。在批准前应当征得国务院文物行政部门同意。施工时应当在“一宫两陵”保护人员监督下进行。在“一宫两陵”保护范围内新建与“一宫两陵”保护有关的建筑物、构筑物，应当报国务院文物行政部门批准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第十六条 </w:t>
      </w:r>
      <w:r>
        <w:rPr>
          <w:rFonts w:hint="eastAsia" w:ascii="仿宋" w:hAnsi="仿宋" w:eastAsia="仿宋" w:cs="仿宋"/>
          <w:sz w:val="32"/>
          <w:szCs w:val="32"/>
        </w:rPr>
        <w:t xml:space="preserve"> 在“一宫两陵”建设控制地带内进行建设工程，不得破坏“一宫两陵”的历史风貌；工程设计方案须经国务院文物行政部门同意后，依法报有关部门批准。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第十七条</w:t>
      </w:r>
      <w:r>
        <w:rPr>
          <w:rFonts w:hint="eastAsia" w:ascii="仿宋" w:hAnsi="仿宋" w:eastAsia="仿宋" w:cs="仿宋"/>
          <w:sz w:val="32"/>
          <w:szCs w:val="32"/>
        </w:rPr>
        <w:t xml:space="preserve">  在“一宫两陵”建设控制地带内，不得建设危及“一宫两陵”安全的设施，不得修建其风格、高度、体量、色调等与“一宫两陵”环境风貌不相协调的建筑物或构筑物。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第十八条</w:t>
      </w:r>
      <w:r>
        <w:rPr>
          <w:rFonts w:hint="eastAsia" w:ascii="仿宋" w:hAnsi="仿宋" w:eastAsia="仿宋" w:cs="仿宋"/>
          <w:sz w:val="32"/>
          <w:szCs w:val="32"/>
        </w:rPr>
        <w:t xml:space="preserve">  在“一宫两陵”保护范围和建设控制地带内，不得建设构成对“一宫两陵”及其环境污染的设施，不得进行可能影响“一宫两陵”安全及其污染环境的活动。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第十九条 </w:t>
      </w:r>
      <w:r>
        <w:rPr>
          <w:rFonts w:hint="eastAsia" w:ascii="仿宋" w:hAnsi="仿宋" w:eastAsia="仿宋" w:cs="仿宋"/>
          <w:sz w:val="32"/>
          <w:szCs w:val="32"/>
        </w:rPr>
        <w:t xml:space="preserve"> 从事考古发掘的单位为了科学研究，需要在“一宫两陵”保护范围内进行考古发掘的，应当提出发掘计划，经市人民政府同意后，报国务院文物行政部门审核，由国务院批准。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第二十条 </w:t>
      </w:r>
      <w:r>
        <w:rPr>
          <w:rFonts w:hint="eastAsia" w:ascii="仿宋" w:hAnsi="仿宋" w:eastAsia="仿宋" w:cs="仿宋"/>
          <w:sz w:val="32"/>
          <w:szCs w:val="32"/>
        </w:rPr>
        <w:t xml:space="preserve"> 因制作出版物、音像制品及经营需要而拍摄“一宫两陵”内景和外景活动的，必须依法履行报批手续。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第二十一条</w:t>
      </w:r>
      <w:r>
        <w:rPr>
          <w:rFonts w:hint="eastAsia" w:ascii="仿宋" w:hAnsi="仿宋" w:eastAsia="仿宋" w:cs="仿宋"/>
          <w:sz w:val="32"/>
          <w:szCs w:val="32"/>
        </w:rPr>
        <w:t xml:space="preserve">  对“一宫两陵”古建筑进行测绘的，应当经市文物行政部门同意，报省文物行政部门批准，并在“一宫两陵”保护人员的监督下进行。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第二十二条 </w:t>
      </w:r>
      <w:r>
        <w:rPr>
          <w:rFonts w:hint="eastAsia" w:ascii="仿宋" w:hAnsi="仿宋" w:eastAsia="仿宋" w:cs="仿宋"/>
          <w:sz w:val="32"/>
          <w:szCs w:val="32"/>
        </w:rPr>
        <w:t xml:space="preserve"> “一宫两陵”管理单位应当按照国家有关规定配备防火、防盗、防自然损坏的设施，并建立相应管理制度，确保文物的安全。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第二十三条  </w:t>
      </w:r>
      <w:r>
        <w:rPr>
          <w:rFonts w:hint="eastAsia" w:ascii="仿宋" w:hAnsi="仿宋" w:eastAsia="仿宋" w:cs="仿宋"/>
          <w:sz w:val="32"/>
          <w:szCs w:val="32"/>
        </w:rPr>
        <w:t>在“一宫两陵”保护范围内，禁止下列行为：（一）损毁古建筑物及附属物的；（二）砍伐、破坏和擅自移植古树名木及风景林木的；（三）损坏保护设施的；（四）在文物和保护设施上涂污、刻画、张贴和攀登的；（五）修建墓地和埋葬骨灰的；（六）野炊及易引起火灾的；（七）随地吐痰、便溺、乱扔杂物，乱倒垃圾和污水的；（八）在设有禁止吸烟标志区域内吸烟的；（九）在设有禁止拍照标志区域内拍照的；（十）其他有损文物、有碍景观的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第二十四条 </w:t>
      </w:r>
      <w:r>
        <w:rPr>
          <w:rFonts w:hint="eastAsia" w:ascii="仿宋" w:hAnsi="仿宋" w:eastAsia="仿宋" w:cs="仿宋"/>
          <w:sz w:val="32"/>
          <w:szCs w:val="32"/>
        </w:rPr>
        <w:t xml:space="preserve"> 未经允许，机动车辆不得在“一宫两陵”重点保护区内行驶。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第二十五条</w:t>
      </w:r>
      <w:r>
        <w:rPr>
          <w:rFonts w:hint="eastAsia" w:ascii="仿宋" w:hAnsi="仿宋" w:eastAsia="仿宋" w:cs="仿宋"/>
          <w:sz w:val="32"/>
          <w:szCs w:val="32"/>
        </w:rPr>
        <w:t xml:space="preserve">  凡申请在“一宫两陵”重点保护区内经营的单位和个人，应在征得“一宫两陵”行政主管部门同意后，依法办理相关手续。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第二十六条</w:t>
      </w:r>
      <w:r>
        <w:rPr>
          <w:rFonts w:hint="eastAsia" w:ascii="仿宋" w:hAnsi="仿宋" w:eastAsia="仿宋" w:cs="仿宋"/>
          <w:sz w:val="32"/>
          <w:szCs w:val="32"/>
        </w:rPr>
        <w:t xml:space="preserve">  有下列行为之一的，市人民政府应当给予表彰或奖励：（一）在“一宫两陵”保护科学技术方面有重要发明创造或者其他重要贡献的；（二）在“一宫两陵”保护、管理、安全保卫等工作中成绩显著的；（三）其他对“一宫两陵”保护做出突出贡献的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pStyle w:val="2"/>
      </w:pPr>
      <w:bookmarkStart w:id="3" w:name="_Toc29415"/>
      <w:r>
        <w:rPr>
          <w:rFonts w:hint="eastAsia"/>
        </w:rPr>
        <w:t>第四章  法律责任</w:t>
      </w:r>
      <w:bookmarkEnd w:id="3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第二十七条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违反本条例规定，有下列行为之一的，由市文物行政部门责令改正：（一）未经批准擅自在“一宫两陵”保护范围内进行考古发掘的；（二）未经批准擅自对“一宫两陵”古建筑进行测绘的。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第二十八条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违反本条例规定，损毁“一宫两陵”标志说明的，由公安机关或“一宫两陵”管理单位给予警告，并处50元以上200元以下罚款。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第二十九条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违反本条例规定，在“一宫两陵”文物和保护设施上涂污、刻画的，由公安机关或“一宫两陵”管理单位给予警告，视其情节，并处50元以上1000元以下罚款。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第三十条  </w:t>
      </w:r>
      <w:r>
        <w:rPr>
          <w:rFonts w:hint="eastAsia" w:ascii="仿宋" w:hAnsi="仿宋" w:eastAsia="仿宋" w:cs="仿宋"/>
          <w:sz w:val="32"/>
          <w:szCs w:val="32"/>
        </w:rPr>
        <w:t>违反本条例规定，“一宫两陵”管理单位未按国家有关规定配备防火、防盗、防自然损坏设施的，由市文物行政部门责令改正，可并处1000元以上2万元以下罚款。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第三十一条  </w:t>
      </w:r>
      <w:r>
        <w:rPr>
          <w:rFonts w:hint="eastAsia" w:ascii="仿宋" w:hAnsi="仿宋" w:eastAsia="仿宋" w:cs="仿宋"/>
          <w:sz w:val="32"/>
          <w:szCs w:val="32"/>
        </w:rPr>
        <w:t>违反本条例规定，有下列行为之一，尚不构成犯罪的，由市文物行政部门责令停工，责令拆除违法修建的建筑物、构筑物，造成严重后果的，处5万元以上50万元以下罚款；情节严重的，由原发证机关吊销资质证书：（一）未经批准擅自修缮“一宫两陵”文物，明显改变文物原状的；（二）未取得文物保护工程资质证书，擅自从事“一宫两陵”文物修缮的；（三）未经批准擅自在“一宫两陵”保护范围内进行建设工程或者爆破、钻探、挖掘等作业的；（四）在“一宫两陵”建设控制地带内进行建设工程，其工程设计方案未经批准，对“一宫两陵”历史风貌造成破坏的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第三十二条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违反本条例规定，砍伐、破坏和擅自移植古树名木及风景林木的，由市园林绿化行政部门处树木评估价值3倍以上5倍以下的罚款。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第三十三条</w:t>
      </w:r>
      <w:r>
        <w:rPr>
          <w:rFonts w:hint="eastAsia" w:ascii="仿宋" w:hAnsi="仿宋" w:eastAsia="仿宋" w:cs="仿宋"/>
          <w:sz w:val="32"/>
          <w:szCs w:val="32"/>
        </w:rPr>
        <w:t xml:space="preserve">  违反本条例规定，造成“一宫两陵”文物灭失、损毁的，依法承担民事责任；构成犯罪的，依法追究刑事责任。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第三十四条</w:t>
      </w:r>
      <w:r>
        <w:rPr>
          <w:rFonts w:hint="eastAsia" w:ascii="仿宋" w:hAnsi="仿宋" w:eastAsia="仿宋" w:cs="仿宋"/>
          <w:sz w:val="32"/>
          <w:szCs w:val="32"/>
        </w:rPr>
        <w:t xml:space="preserve">  市文物行政部门、“一宫两陵”管理单位的工作人员违反本条例规定，造成严重后果的，依法给予行政处分；构成犯罪的，依法追究刑事责任。市城建管理、城市规划、环境保护、公安、工商和旅游等有关行政部门违反本条例规定，滥用职权、玩忽职守、徇私舞弊，造成严重后果的，对负有责任的主管人员和其他直接责任人员依法给予行政处分；构成犯罪的，依法追究刑事责任。</w:t>
      </w:r>
    </w:p>
    <w:p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>第三十五条</w:t>
      </w:r>
      <w:r>
        <w:rPr>
          <w:rFonts w:hint="eastAsia" w:ascii="仿宋" w:hAnsi="仿宋" w:eastAsia="仿宋" w:cs="仿宋"/>
          <w:sz w:val="32"/>
          <w:szCs w:val="32"/>
        </w:rPr>
        <w:t xml:space="preserve">  当事人对行政处罚不服的，可以依法申请行政复议或者提起行政诉讼；逾期不申请复议、不起诉，又不履行处罚决定的，由作出处罚决定的行政机关申请人民法院强制执行。</w:t>
      </w: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</w:p>
    <w:p>
      <w:pPr>
        <w:pStyle w:val="2"/>
      </w:pPr>
      <w:bookmarkStart w:id="4" w:name="_Toc29098"/>
      <w:r>
        <w:rPr>
          <w:rFonts w:hint="eastAsia"/>
        </w:rPr>
        <w:t>第五章  附    则</w:t>
      </w:r>
      <w:bookmarkEnd w:id="4"/>
    </w:p>
    <w:p>
      <w:pPr>
        <w:spacing w:line="560" w:lineRule="exact"/>
        <w:ind w:firstLine="640" w:firstLineChars="200"/>
        <w:rPr>
          <w:rStyle w:val="11"/>
          <w:rFonts w:hint="eastAsia"/>
        </w:rPr>
      </w:pPr>
    </w:p>
    <w:p>
      <w:pPr>
        <w:spacing w:line="560" w:lineRule="exact"/>
        <w:ind w:firstLine="640" w:firstLineChars="200"/>
        <w:rPr>
          <w:rFonts w:ascii="仿宋" w:hAnsi="仿宋" w:eastAsia="仿宋" w:cs="仿宋"/>
          <w:sz w:val="32"/>
          <w:szCs w:val="32"/>
        </w:rPr>
      </w:pPr>
      <w:r>
        <w:rPr>
          <w:rStyle w:val="11"/>
          <w:rFonts w:hint="eastAsia"/>
        </w:rPr>
        <w:t xml:space="preserve">第三十六条  </w:t>
      </w:r>
      <w:r>
        <w:rPr>
          <w:rFonts w:hint="eastAsia" w:ascii="仿宋" w:hAnsi="仿宋" w:eastAsia="仿宋" w:cs="仿宋"/>
          <w:sz w:val="32"/>
          <w:szCs w:val="32"/>
        </w:rPr>
        <w:t>本条例自2003年7月1日起施行。</w:t>
      </w:r>
    </w:p>
    <w:p>
      <w:pPr>
        <w:spacing w:line="560" w:lineRule="exact"/>
        <w:rPr>
          <w:rFonts w:ascii="仿宋" w:hAnsi="仿宋" w:eastAsia="仿宋" w:cs="仿宋"/>
          <w:sz w:val="32"/>
          <w:szCs w:val="32"/>
        </w:rPr>
      </w:pPr>
    </w:p>
    <w:p>
      <w:pPr>
        <w:spacing w:line="560" w:lineRule="exact"/>
        <w:rPr>
          <w:rFonts w:ascii="仿宋" w:hAnsi="仿宋" w:eastAsia="仿宋" w:cs="仿宋"/>
          <w:sz w:val="32"/>
          <w:szCs w:val="32"/>
        </w:rPr>
      </w:pPr>
    </w:p>
    <w:sectPr>
      <w:footerReference r:id="rId3" w:type="default"/>
      <w:pgSz w:w="11906" w:h="16838"/>
      <w:pgMar w:top="2041" w:right="1531" w:bottom="2041" w:left="1531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ind w:left="420" w:leftChars="200" w:right="420" w:rightChars="200"/>
                </w:pPr>
                <w:r>
                  <w:rPr>
                    <w:rFonts w:hint="eastAsia" w:ascii="宋体" w:hAnsi="宋体" w:cs="宋体"/>
                    <w:sz w:val="28"/>
                    <w:szCs w:val="28"/>
                  </w:rPr>
                  <w:t>—</w: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>7</w:t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hint="eastAsia"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1,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69F1"/>
    <w:rsid w:val="000002D8"/>
    <w:rsid w:val="00003585"/>
    <w:rsid w:val="00014686"/>
    <w:rsid w:val="00017797"/>
    <w:rsid w:val="00021DF8"/>
    <w:rsid w:val="000241CB"/>
    <w:rsid w:val="000319B6"/>
    <w:rsid w:val="0003441F"/>
    <w:rsid w:val="00034F3F"/>
    <w:rsid w:val="00037460"/>
    <w:rsid w:val="000409F9"/>
    <w:rsid w:val="000411AE"/>
    <w:rsid w:val="00043D9D"/>
    <w:rsid w:val="000451A6"/>
    <w:rsid w:val="0006663B"/>
    <w:rsid w:val="00067781"/>
    <w:rsid w:val="000767A4"/>
    <w:rsid w:val="0008038C"/>
    <w:rsid w:val="00081D57"/>
    <w:rsid w:val="00096C3C"/>
    <w:rsid w:val="00097351"/>
    <w:rsid w:val="000A36BE"/>
    <w:rsid w:val="000A39E9"/>
    <w:rsid w:val="000A49E3"/>
    <w:rsid w:val="000B20F8"/>
    <w:rsid w:val="000B3E78"/>
    <w:rsid w:val="000C4386"/>
    <w:rsid w:val="000D0728"/>
    <w:rsid w:val="000E162C"/>
    <w:rsid w:val="000E4177"/>
    <w:rsid w:val="000E4D6B"/>
    <w:rsid w:val="000E5A7C"/>
    <w:rsid w:val="000E5BC1"/>
    <w:rsid w:val="000F1BAC"/>
    <w:rsid w:val="00116AA4"/>
    <w:rsid w:val="001211DC"/>
    <w:rsid w:val="00130DC4"/>
    <w:rsid w:val="00131750"/>
    <w:rsid w:val="00132CC4"/>
    <w:rsid w:val="00146C89"/>
    <w:rsid w:val="00163B9E"/>
    <w:rsid w:val="00170682"/>
    <w:rsid w:val="00174D6D"/>
    <w:rsid w:val="0017688F"/>
    <w:rsid w:val="00180E34"/>
    <w:rsid w:val="00181A71"/>
    <w:rsid w:val="001826E2"/>
    <w:rsid w:val="00182F23"/>
    <w:rsid w:val="00183BC2"/>
    <w:rsid w:val="0018607A"/>
    <w:rsid w:val="001860E2"/>
    <w:rsid w:val="00191109"/>
    <w:rsid w:val="001A1B82"/>
    <w:rsid w:val="001B1310"/>
    <w:rsid w:val="001B41EF"/>
    <w:rsid w:val="001B5072"/>
    <w:rsid w:val="001D2140"/>
    <w:rsid w:val="001D3D9F"/>
    <w:rsid w:val="001E1C7F"/>
    <w:rsid w:val="001E2E60"/>
    <w:rsid w:val="001E3E9D"/>
    <w:rsid w:val="001F63ED"/>
    <w:rsid w:val="001F6B51"/>
    <w:rsid w:val="00200C01"/>
    <w:rsid w:val="00210D4E"/>
    <w:rsid w:val="00214AE7"/>
    <w:rsid w:val="002215BD"/>
    <w:rsid w:val="002243E6"/>
    <w:rsid w:val="002273E6"/>
    <w:rsid w:val="00240A0E"/>
    <w:rsid w:val="00243187"/>
    <w:rsid w:val="00247D0F"/>
    <w:rsid w:val="00250924"/>
    <w:rsid w:val="00256DE8"/>
    <w:rsid w:val="00261EBF"/>
    <w:rsid w:val="00266008"/>
    <w:rsid w:val="00267B07"/>
    <w:rsid w:val="00271AF6"/>
    <w:rsid w:val="0027367C"/>
    <w:rsid w:val="00274174"/>
    <w:rsid w:val="002754A6"/>
    <w:rsid w:val="00284182"/>
    <w:rsid w:val="002876E2"/>
    <w:rsid w:val="002950C0"/>
    <w:rsid w:val="002A0D09"/>
    <w:rsid w:val="002A398C"/>
    <w:rsid w:val="002B1E13"/>
    <w:rsid w:val="002B5861"/>
    <w:rsid w:val="002B5923"/>
    <w:rsid w:val="002B799C"/>
    <w:rsid w:val="002C247C"/>
    <w:rsid w:val="002C362A"/>
    <w:rsid w:val="002C3B62"/>
    <w:rsid w:val="002C5480"/>
    <w:rsid w:val="002D3DFE"/>
    <w:rsid w:val="002D6BAC"/>
    <w:rsid w:val="002E392C"/>
    <w:rsid w:val="002F7680"/>
    <w:rsid w:val="00304566"/>
    <w:rsid w:val="00312076"/>
    <w:rsid w:val="00326C74"/>
    <w:rsid w:val="00327A18"/>
    <w:rsid w:val="00327A47"/>
    <w:rsid w:val="0033275F"/>
    <w:rsid w:val="00337156"/>
    <w:rsid w:val="00340214"/>
    <w:rsid w:val="003431C5"/>
    <w:rsid w:val="00350DA4"/>
    <w:rsid w:val="00353F50"/>
    <w:rsid w:val="00362CB4"/>
    <w:rsid w:val="00364676"/>
    <w:rsid w:val="00366821"/>
    <w:rsid w:val="00371134"/>
    <w:rsid w:val="003756D2"/>
    <w:rsid w:val="00382E6A"/>
    <w:rsid w:val="003965BE"/>
    <w:rsid w:val="003A1FF8"/>
    <w:rsid w:val="003A2536"/>
    <w:rsid w:val="003B0608"/>
    <w:rsid w:val="003B40AB"/>
    <w:rsid w:val="003C3E89"/>
    <w:rsid w:val="003C532C"/>
    <w:rsid w:val="003C72CC"/>
    <w:rsid w:val="003D349A"/>
    <w:rsid w:val="003E5F17"/>
    <w:rsid w:val="003F2DD0"/>
    <w:rsid w:val="003F6F15"/>
    <w:rsid w:val="003F6F4A"/>
    <w:rsid w:val="003F71B0"/>
    <w:rsid w:val="0040585B"/>
    <w:rsid w:val="00405984"/>
    <w:rsid w:val="004069F1"/>
    <w:rsid w:val="00410795"/>
    <w:rsid w:val="00412F3C"/>
    <w:rsid w:val="0041372F"/>
    <w:rsid w:val="00414950"/>
    <w:rsid w:val="00416A66"/>
    <w:rsid w:val="00417439"/>
    <w:rsid w:val="00420F37"/>
    <w:rsid w:val="00432475"/>
    <w:rsid w:val="004328B4"/>
    <w:rsid w:val="004345CF"/>
    <w:rsid w:val="00442E9B"/>
    <w:rsid w:val="00443EC0"/>
    <w:rsid w:val="0045572F"/>
    <w:rsid w:val="00460176"/>
    <w:rsid w:val="0046156A"/>
    <w:rsid w:val="004642C8"/>
    <w:rsid w:val="004644EB"/>
    <w:rsid w:val="0046611B"/>
    <w:rsid w:val="00471974"/>
    <w:rsid w:val="00474CC8"/>
    <w:rsid w:val="00474F61"/>
    <w:rsid w:val="0047564B"/>
    <w:rsid w:val="00492166"/>
    <w:rsid w:val="004A0B4D"/>
    <w:rsid w:val="004A2ADE"/>
    <w:rsid w:val="004A2E60"/>
    <w:rsid w:val="004C0AAB"/>
    <w:rsid w:val="004C1A59"/>
    <w:rsid w:val="004D08E1"/>
    <w:rsid w:val="004D65E7"/>
    <w:rsid w:val="004D75EC"/>
    <w:rsid w:val="004D7BE9"/>
    <w:rsid w:val="004E03C9"/>
    <w:rsid w:val="004E65CE"/>
    <w:rsid w:val="004F0BDD"/>
    <w:rsid w:val="004F1256"/>
    <w:rsid w:val="004F1E6E"/>
    <w:rsid w:val="00506236"/>
    <w:rsid w:val="00521102"/>
    <w:rsid w:val="005257E0"/>
    <w:rsid w:val="00526322"/>
    <w:rsid w:val="00527027"/>
    <w:rsid w:val="005352B0"/>
    <w:rsid w:val="005360EF"/>
    <w:rsid w:val="005363E6"/>
    <w:rsid w:val="00536DD1"/>
    <w:rsid w:val="00537634"/>
    <w:rsid w:val="00541C00"/>
    <w:rsid w:val="00553418"/>
    <w:rsid w:val="00557421"/>
    <w:rsid w:val="00557E32"/>
    <w:rsid w:val="00560E04"/>
    <w:rsid w:val="005616B1"/>
    <w:rsid w:val="00562591"/>
    <w:rsid w:val="00563D88"/>
    <w:rsid w:val="005649F7"/>
    <w:rsid w:val="00572740"/>
    <w:rsid w:val="00572FB7"/>
    <w:rsid w:val="0057385F"/>
    <w:rsid w:val="00577B99"/>
    <w:rsid w:val="00581F64"/>
    <w:rsid w:val="00582BDE"/>
    <w:rsid w:val="00585DFC"/>
    <w:rsid w:val="00587815"/>
    <w:rsid w:val="00591662"/>
    <w:rsid w:val="00592FF6"/>
    <w:rsid w:val="00596668"/>
    <w:rsid w:val="00596FF3"/>
    <w:rsid w:val="0059721D"/>
    <w:rsid w:val="005A22F0"/>
    <w:rsid w:val="005A6F73"/>
    <w:rsid w:val="005B1434"/>
    <w:rsid w:val="005C275B"/>
    <w:rsid w:val="005C59EB"/>
    <w:rsid w:val="005C5DB0"/>
    <w:rsid w:val="005E3B7D"/>
    <w:rsid w:val="005E3DD0"/>
    <w:rsid w:val="005E41F4"/>
    <w:rsid w:val="005E6F75"/>
    <w:rsid w:val="005E7868"/>
    <w:rsid w:val="005F56C9"/>
    <w:rsid w:val="006001B7"/>
    <w:rsid w:val="00607D48"/>
    <w:rsid w:val="006146B0"/>
    <w:rsid w:val="0061493E"/>
    <w:rsid w:val="006208A7"/>
    <w:rsid w:val="0062641A"/>
    <w:rsid w:val="006372B4"/>
    <w:rsid w:val="00644ADF"/>
    <w:rsid w:val="006538FF"/>
    <w:rsid w:val="00655881"/>
    <w:rsid w:val="00660F70"/>
    <w:rsid w:val="00676A27"/>
    <w:rsid w:val="00676F56"/>
    <w:rsid w:val="006772E5"/>
    <w:rsid w:val="006775DE"/>
    <w:rsid w:val="00683051"/>
    <w:rsid w:val="00687405"/>
    <w:rsid w:val="00693734"/>
    <w:rsid w:val="00694290"/>
    <w:rsid w:val="0069641F"/>
    <w:rsid w:val="006978BC"/>
    <w:rsid w:val="006A1623"/>
    <w:rsid w:val="006A3C68"/>
    <w:rsid w:val="006A45AF"/>
    <w:rsid w:val="006A75E5"/>
    <w:rsid w:val="006A7F99"/>
    <w:rsid w:val="006B1D16"/>
    <w:rsid w:val="006C02DC"/>
    <w:rsid w:val="006D1CA8"/>
    <w:rsid w:val="006E00E3"/>
    <w:rsid w:val="006F0E1D"/>
    <w:rsid w:val="006F1086"/>
    <w:rsid w:val="006F4E9E"/>
    <w:rsid w:val="006F5DDE"/>
    <w:rsid w:val="00702AD3"/>
    <w:rsid w:val="00711AA4"/>
    <w:rsid w:val="0072258B"/>
    <w:rsid w:val="0072330F"/>
    <w:rsid w:val="00725F31"/>
    <w:rsid w:val="00732733"/>
    <w:rsid w:val="00740AE6"/>
    <w:rsid w:val="007439DF"/>
    <w:rsid w:val="007478D6"/>
    <w:rsid w:val="0075742D"/>
    <w:rsid w:val="00761406"/>
    <w:rsid w:val="0076169B"/>
    <w:rsid w:val="00761887"/>
    <w:rsid w:val="00765C25"/>
    <w:rsid w:val="00776DA8"/>
    <w:rsid w:val="00777305"/>
    <w:rsid w:val="0077750A"/>
    <w:rsid w:val="007920AC"/>
    <w:rsid w:val="00792552"/>
    <w:rsid w:val="007A2022"/>
    <w:rsid w:val="007A49E9"/>
    <w:rsid w:val="007A5128"/>
    <w:rsid w:val="007C1CF8"/>
    <w:rsid w:val="007C2081"/>
    <w:rsid w:val="007C3D07"/>
    <w:rsid w:val="007D6448"/>
    <w:rsid w:val="007D712A"/>
    <w:rsid w:val="007E64F5"/>
    <w:rsid w:val="007F20EF"/>
    <w:rsid w:val="007F44C9"/>
    <w:rsid w:val="00803108"/>
    <w:rsid w:val="00803BDE"/>
    <w:rsid w:val="00816502"/>
    <w:rsid w:val="00817962"/>
    <w:rsid w:val="00825D44"/>
    <w:rsid w:val="00830818"/>
    <w:rsid w:val="008310B4"/>
    <w:rsid w:val="008339BE"/>
    <w:rsid w:val="00846FB8"/>
    <w:rsid w:val="008473FE"/>
    <w:rsid w:val="008579CB"/>
    <w:rsid w:val="00861EDE"/>
    <w:rsid w:val="00864268"/>
    <w:rsid w:val="0087026B"/>
    <w:rsid w:val="00871CA1"/>
    <w:rsid w:val="00875A35"/>
    <w:rsid w:val="00876AF7"/>
    <w:rsid w:val="008A0D16"/>
    <w:rsid w:val="008A1024"/>
    <w:rsid w:val="008A265E"/>
    <w:rsid w:val="008A4BD8"/>
    <w:rsid w:val="008A664C"/>
    <w:rsid w:val="008B74EE"/>
    <w:rsid w:val="008C0EC3"/>
    <w:rsid w:val="008D044B"/>
    <w:rsid w:val="008D1B7C"/>
    <w:rsid w:val="008D6F7B"/>
    <w:rsid w:val="008E38C8"/>
    <w:rsid w:val="008E3D93"/>
    <w:rsid w:val="008F60DA"/>
    <w:rsid w:val="00900A78"/>
    <w:rsid w:val="00906850"/>
    <w:rsid w:val="009168B7"/>
    <w:rsid w:val="009266FF"/>
    <w:rsid w:val="009374B3"/>
    <w:rsid w:val="009378E2"/>
    <w:rsid w:val="0095247F"/>
    <w:rsid w:val="009569F4"/>
    <w:rsid w:val="00966E17"/>
    <w:rsid w:val="009719DA"/>
    <w:rsid w:val="00971BDC"/>
    <w:rsid w:val="00971F9C"/>
    <w:rsid w:val="009750E9"/>
    <w:rsid w:val="00990335"/>
    <w:rsid w:val="009A0161"/>
    <w:rsid w:val="009A1D37"/>
    <w:rsid w:val="009A7719"/>
    <w:rsid w:val="009B0F90"/>
    <w:rsid w:val="009B26BB"/>
    <w:rsid w:val="009B3F12"/>
    <w:rsid w:val="009B54D3"/>
    <w:rsid w:val="009B7C45"/>
    <w:rsid w:val="009C328D"/>
    <w:rsid w:val="009C703F"/>
    <w:rsid w:val="009C799B"/>
    <w:rsid w:val="009D0839"/>
    <w:rsid w:val="009D1FC0"/>
    <w:rsid w:val="009E0C13"/>
    <w:rsid w:val="009F7B4C"/>
    <w:rsid w:val="00A015DC"/>
    <w:rsid w:val="00A0194D"/>
    <w:rsid w:val="00A02C44"/>
    <w:rsid w:val="00A079A9"/>
    <w:rsid w:val="00A145A0"/>
    <w:rsid w:val="00A15439"/>
    <w:rsid w:val="00A17CB4"/>
    <w:rsid w:val="00A204EC"/>
    <w:rsid w:val="00A22E7A"/>
    <w:rsid w:val="00A25754"/>
    <w:rsid w:val="00A3165B"/>
    <w:rsid w:val="00A3214D"/>
    <w:rsid w:val="00A4039F"/>
    <w:rsid w:val="00A40CA6"/>
    <w:rsid w:val="00A532C6"/>
    <w:rsid w:val="00A57A47"/>
    <w:rsid w:val="00A602E2"/>
    <w:rsid w:val="00A604CF"/>
    <w:rsid w:val="00A63D5C"/>
    <w:rsid w:val="00A659AB"/>
    <w:rsid w:val="00A71DA0"/>
    <w:rsid w:val="00A73A4D"/>
    <w:rsid w:val="00A761BE"/>
    <w:rsid w:val="00A80290"/>
    <w:rsid w:val="00A83E30"/>
    <w:rsid w:val="00A8570F"/>
    <w:rsid w:val="00AA01F8"/>
    <w:rsid w:val="00AA37DF"/>
    <w:rsid w:val="00AB37E2"/>
    <w:rsid w:val="00AD4F92"/>
    <w:rsid w:val="00AD7254"/>
    <w:rsid w:val="00AE0ADF"/>
    <w:rsid w:val="00AE5864"/>
    <w:rsid w:val="00AF7F4C"/>
    <w:rsid w:val="00B11B25"/>
    <w:rsid w:val="00B222FD"/>
    <w:rsid w:val="00B223DD"/>
    <w:rsid w:val="00B24C42"/>
    <w:rsid w:val="00B27EBB"/>
    <w:rsid w:val="00B35704"/>
    <w:rsid w:val="00B4789A"/>
    <w:rsid w:val="00B514E3"/>
    <w:rsid w:val="00B53AB2"/>
    <w:rsid w:val="00B576FF"/>
    <w:rsid w:val="00B85EFC"/>
    <w:rsid w:val="00B92697"/>
    <w:rsid w:val="00B94120"/>
    <w:rsid w:val="00BA0925"/>
    <w:rsid w:val="00BA68A2"/>
    <w:rsid w:val="00BB188D"/>
    <w:rsid w:val="00BB3D50"/>
    <w:rsid w:val="00BB6114"/>
    <w:rsid w:val="00BC3D7C"/>
    <w:rsid w:val="00BC417E"/>
    <w:rsid w:val="00BC6D93"/>
    <w:rsid w:val="00BD2A1E"/>
    <w:rsid w:val="00BD46EE"/>
    <w:rsid w:val="00BD5FEA"/>
    <w:rsid w:val="00BE28B1"/>
    <w:rsid w:val="00BE2D71"/>
    <w:rsid w:val="00BF0CB3"/>
    <w:rsid w:val="00BF2E6E"/>
    <w:rsid w:val="00BF4F51"/>
    <w:rsid w:val="00BF585F"/>
    <w:rsid w:val="00BF7127"/>
    <w:rsid w:val="00C064F9"/>
    <w:rsid w:val="00C078B4"/>
    <w:rsid w:val="00C114BC"/>
    <w:rsid w:val="00C143CB"/>
    <w:rsid w:val="00C25A63"/>
    <w:rsid w:val="00C267BB"/>
    <w:rsid w:val="00C26F09"/>
    <w:rsid w:val="00C30A29"/>
    <w:rsid w:val="00C30AA6"/>
    <w:rsid w:val="00C350C7"/>
    <w:rsid w:val="00C35A70"/>
    <w:rsid w:val="00C4036B"/>
    <w:rsid w:val="00C428BC"/>
    <w:rsid w:val="00C4314E"/>
    <w:rsid w:val="00C5609A"/>
    <w:rsid w:val="00C60007"/>
    <w:rsid w:val="00C62538"/>
    <w:rsid w:val="00C63D0C"/>
    <w:rsid w:val="00C63EBE"/>
    <w:rsid w:val="00C67D04"/>
    <w:rsid w:val="00C7039D"/>
    <w:rsid w:val="00C74C5B"/>
    <w:rsid w:val="00C83FC1"/>
    <w:rsid w:val="00C851BA"/>
    <w:rsid w:val="00C93C8A"/>
    <w:rsid w:val="00CA1837"/>
    <w:rsid w:val="00CA7DE8"/>
    <w:rsid w:val="00CB4BCF"/>
    <w:rsid w:val="00CB55FD"/>
    <w:rsid w:val="00CD5299"/>
    <w:rsid w:val="00CE16E8"/>
    <w:rsid w:val="00CE2903"/>
    <w:rsid w:val="00CF5924"/>
    <w:rsid w:val="00D20445"/>
    <w:rsid w:val="00D207B3"/>
    <w:rsid w:val="00D227DF"/>
    <w:rsid w:val="00D325EB"/>
    <w:rsid w:val="00D409EB"/>
    <w:rsid w:val="00D41AAA"/>
    <w:rsid w:val="00D423B4"/>
    <w:rsid w:val="00D43ABD"/>
    <w:rsid w:val="00D43FA1"/>
    <w:rsid w:val="00D47F46"/>
    <w:rsid w:val="00D641B4"/>
    <w:rsid w:val="00D65D2C"/>
    <w:rsid w:val="00D733B3"/>
    <w:rsid w:val="00D77FF1"/>
    <w:rsid w:val="00D8010F"/>
    <w:rsid w:val="00D8680C"/>
    <w:rsid w:val="00D87C70"/>
    <w:rsid w:val="00D93971"/>
    <w:rsid w:val="00DA0981"/>
    <w:rsid w:val="00DA32A2"/>
    <w:rsid w:val="00DA4E6B"/>
    <w:rsid w:val="00DB7926"/>
    <w:rsid w:val="00DC2A8E"/>
    <w:rsid w:val="00DC4D27"/>
    <w:rsid w:val="00DD06ED"/>
    <w:rsid w:val="00DD5136"/>
    <w:rsid w:val="00DD572A"/>
    <w:rsid w:val="00DE3ED0"/>
    <w:rsid w:val="00E034C6"/>
    <w:rsid w:val="00E057C5"/>
    <w:rsid w:val="00E066D0"/>
    <w:rsid w:val="00E32A99"/>
    <w:rsid w:val="00E33801"/>
    <w:rsid w:val="00E43C46"/>
    <w:rsid w:val="00E55F2B"/>
    <w:rsid w:val="00E56A97"/>
    <w:rsid w:val="00E853A3"/>
    <w:rsid w:val="00E85C51"/>
    <w:rsid w:val="00E86276"/>
    <w:rsid w:val="00E91B2C"/>
    <w:rsid w:val="00E9657D"/>
    <w:rsid w:val="00E96676"/>
    <w:rsid w:val="00EA21DA"/>
    <w:rsid w:val="00EA31B6"/>
    <w:rsid w:val="00EA397F"/>
    <w:rsid w:val="00EA4A53"/>
    <w:rsid w:val="00EA56AE"/>
    <w:rsid w:val="00EA5EDB"/>
    <w:rsid w:val="00EB20F7"/>
    <w:rsid w:val="00EC34D4"/>
    <w:rsid w:val="00ED50E1"/>
    <w:rsid w:val="00EE4898"/>
    <w:rsid w:val="00EE62FF"/>
    <w:rsid w:val="00EF6FD6"/>
    <w:rsid w:val="00F001CA"/>
    <w:rsid w:val="00F0648C"/>
    <w:rsid w:val="00F07301"/>
    <w:rsid w:val="00F07CB3"/>
    <w:rsid w:val="00F1162A"/>
    <w:rsid w:val="00F12342"/>
    <w:rsid w:val="00F12359"/>
    <w:rsid w:val="00F130AF"/>
    <w:rsid w:val="00F21F94"/>
    <w:rsid w:val="00F23384"/>
    <w:rsid w:val="00F23B91"/>
    <w:rsid w:val="00F25BEF"/>
    <w:rsid w:val="00F34FB9"/>
    <w:rsid w:val="00F5142C"/>
    <w:rsid w:val="00F52152"/>
    <w:rsid w:val="00F52599"/>
    <w:rsid w:val="00F52EC7"/>
    <w:rsid w:val="00F55EAE"/>
    <w:rsid w:val="00F57BA1"/>
    <w:rsid w:val="00F607D5"/>
    <w:rsid w:val="00F64B95"/>
    <w:rsid w:val="00F6649B"/>
    <w:rsid w:val="00F66BCA"/>
    <w:rsid w:val="00F77728"/>
    <w:rsid w:val="00F82244"/>
    <w:rsid w:val="00F84C9E"/>
    <w:rsid w:val="00F9086D"/>
    <w:rsid w:val="00F9322F"/>
    <w:rsid w:val="00FA686A"/>
    <w:rsid w:val="00FA6A74"/>
    <w:rsid w:val="00FA764B"/>
    <w:rsid w:val="00FB1661"/>
    <w:rsid w:val="00FC38A1"/>
    <w:rsid w:val="00FD1301"/>
    <w:rsid w:val="00FD1D06"/>
    <w:rsid w:val="00FD6659"/>
    <w:rsid w:val="00FE1043"/>
    <w:rsid w:val="00FF5AE7"/>
    <w:rsid w:val="00FF60C6"/>
    <w:rsid w:val="01051BC2"/>
    <w:rsid w:val="016F5C35"/>
    <w:rsid w:val="01853A99"/>
    <w:rsid w:val="01972D60"/>
    <w:rsid w:val="01990F4F"/>
    <w:rsid w:val="019F29FF"/>
    <w:rsid w:val="01B07530"/>
    <w:rsid w:val="01C93546"/>
    <w:rsid w:val="022A532B"/>
    <w:rsid w:val="02706198"/>
    <w:rsid w:val="02BB10C4"/>
    <w:rsid w:val="02E335AF"/>
    <w:rsid w:val="034D1D91"/>
    <w:rsid w:val="034E4A22"/>
    <w:rsid w:val="037173F5"/>
    <w:rsid w:val="03E059D2"/>
    <w:rsid w:val="046B7EF9"/>
    <w:rsid w:val="047562DE"/>
    <w:rsid w:val="04900C53"/>
    <w:rsid w:val="049722EE"/>
    <w:rsid w:val="04E40B3C"/>
    <w:rsid w:val="05142607"/>
    <w:rsid w:val="051A30BF"/>
    <w:rsid w:val="051B4077"/>
    <w:rsid w:val="053068BE"/>
    <w:rsid w:val="05A975C6"/>
    <w:rsid w:val="05B25CDC"/>
    <w:rsid w:val="05BD73DC"/>
    <w:rsid w:val="05E0231B"/>
    <w:rsid w:val="05E463EE"/>
    <w:rsid w:val="06611DC8"/>
    <w:rsid w:val="06742669"/>
    <w:rsid w:val="06A52A2F"/>
    <w:rsid w:val="06AC11F5"/>
    <w:rsid w:val="06BB1A3E"/>
    <w:rsid w:val="06D27684"/>
    <w:rsid w:val="06F47A3E"/>
    <w:rsid w:val="06FE4C7B"/>
    <w:rsid w:val="07454396"/>
    <w:rsid w:val="07615354"/>
    <w:rsid w:val="07C466F9"/>
    <w:rsid w:val="07F10DC0"/>
    <w:rsid w:val="07FE6FB6"/>
    <w:rsid w:val="080D3997"/>
    <w:rsid w:val="08935BC4"/>
    <w:rsid w:val="08E64EDB"/>
    <w:rsid w:val="08F76E4E"/>
    <w:rsid w:val="09303886"/>
    <w:rsid w:val="094C7E9A"/>
    <w:rsid w:val="09545708"/>
    <w:rsid w:val="09614306"/>
    <w:rsid w:val="09A05A0C"/>
    <w:rsid w:val="09B537A1"/>
    <w:rsid w:val="09EB1163"/>
    <w:rsid w:val="0AAD4A9B"/>
    <w:rsid w:val="0AF62434"/>
    <w:rsid w:val="0B201CF0"/>
    <w:rsid w:val="0B4724B0"/>
    <w:rsid w:val="0BAC149A"/>
    <w:rsid w:val="0BCF2297"/>
    <w:rsid w:val="0C320844"/>
    <w:rsid w:val="0C350F96"/>
    <w:rsid w:val="0C58755E"/>
    <w:rsid w:val="0C6E62A7"/>
    <w:rsid w:val="0C9A52D9"/>
    <w:rsid w:val="0CAD576F"/>
    <w:rsid w:val="0D495165"/>
    <w:rsid w:val="0D970C3A"/>
    <w:rsid w:val="0DDF6E30"/>
    <w:rsid w:val="0DE04D9C"/>
    <w:rsid w:val="0FBC5FC6"/>
    <w:rsid w:val="0FE65D02"/>
    <w:rsid w:val="101843A9"/>
    <w:rsid w:val="10803A33"/>
    <w:rsid w:val="10A646F2"/>
    <w:rsid w:val="10F055B0"/>
    <w:rsid w:val="113A565D"/>
    <w:rsid w:val="11A3282F"/>
    <w:rsid w:val="11BF194F"/>
    <w:rsid w:val="12032FD1"/>
    <w:rsid w:val="12501663"/>
    <w:rsid w:val="12921963"/>
    <w:rsid w:val="12971EEE"/>
    <w:rsid w:val="12FB32D9"/>
    <w:rsid w:val="131D114D"/>
    <w:rsid w:val="13675AF7"/>
    <w:rsid w:val="13881CB2"/>
    <w:rsid w:val="13AF0DB0"/>
    <w:rsid w:val="13D6470E"/>
    <w:rsid w:val="13F5365A"/>
    <w:rsid w:val="14225112"/>
    <w:rsid w:val="14577E5A"/>
    <w:rsid w:val="14725DF3"/>
    <w:rsid w:val="14A52F14"/>
    <w:rsid w:val="14BA20EB"/>
    <w:rsid w:val="14CD746B"/>
    <w:rsid w:val="14E4537D"/>
    <w:rsid w:val="14FC012B"/>
    <w:rsid w:val="152A714F"/>
    <w:rsid w:val="156D2257"/>
    <w:rsid w:val="158447E7"/>
    <w:rsid w:val="15883D87"/>
    <w:rsid w:val="158A4D68"/>
    <w:rsid w:val="159B597A"/>
    <w:rsid w:val="15AE338E"/>
    <w:rsid w:val="15D26080"/>
    <w:rsid w:val="160C6692"/>
    <w:rsid w:val="16602F7F"/>
    <w:rsid w:val="166F2CEE"/>
    <w:rsid w:val="168738C3"/>
    <w:rsid w:val="168C6C88"/>
    <w:rsid w:val="169C4C1E"/>
    <w:rsid w:val="16CF1633"/>
    <w:rsid w:val="16D07390"/>
    <w:rsid w:val="16DE4F0A"/>
    <w:rsid w:val="17072161"/>
    <w:rsid w:val="170C788E"/>
    <w:rsid w:val="171D4256"/>
    <w:rsid w:val="17305B1F"/>
    <w:rsid w:val="17AC5426"/>
    <w:rsid w:val="17B934DE"/>
    <w:rsid w:val="185742AC"/>
    <w:rsid w:val="185D3EB2"/>
    <w:rsid w:val="18922DC3"/>
    <w:rsid w:val="18AD19C0"/>
    <w:rsid w:val="19025465"/>
    <w:rsid w:val="192201FD"/>
    <w:rsid w:val="1930599F"/>
    <w:rsid w:val="194467B3"/>
    <w:rsid w:val="194E1DDE"/>
    <w:rsid w:val="19A9569B"/>
    <w:rsid w:val="19BE4516"/>
    <w:rsid w:val="19C8553A"/>
    <w:rsid w:val="19EF167F"/>
    <w:rsid w:val="1A0B1E27"/>
    <w:rsid w:val="1A2C240B"/>
    <w:rsid w:val="1A4E285D"/>
    <w:rsid w:val="1A513FF9"/>
    <w:rsid w:val="1ACC509D"/>
    <w:rsid w:val="1AD51F6C"/>
    <w:rsid w:val="1ADB0DA2"/>
    <w:rsid w:val="1B06088A"/>
    <w:rsid w:val="1B220777"/>
    <w:rsid w:val="1B4C3352"/>
    <w:rsid w:val="1B574B73"/>
    <w:rsid w:val="1BC13337"/>
    <w:rsid w:val="1BE84A1A"/>
    <w:rsid w:val="1BF6420E"/>
    <w:rsid w:val="1C2F5423"/>
    <w:rsid w:val="1C6540F3"/>
    <w:rsid w:val="1C8D0327"/>
    <w:rsid w:val="1CA81237"/>
    <w:rsid w:val="1CAC6918"/>
    <w:rsid w:val="1CB44D37"/>
    <w:rsid w:val="1CB53191"/>
    <w:rsid w:val="1CFF118A"/>
    <w:rsid w:val="1D5E4B71"/>
    <w:rsid w:val="1D62264A"/>
    <w:rsid w:val="1D6C4DAA"/>
    <w:rsid w:val="1DBC76C8"/>
    <w:rsid w:val="1E1B06B9"/>
    <w:rsid w:val="1E9722BD"/>
    <w:rsid w:val="1EBF613B"/>
    <w:rsid w:val="1EC36185"/>
    <w:rsid w:val="1ECD0EC5"/>
    <w:rsid w:val="1EE8371A"/>
    <w:rsid w:val="1F390C60"/>
    <w:rsid w:val="1F435EC9"/>
    <w:rsid w:val="1F503903"/>
    <w:rsid w:val="1F786767"/>
    <w:rsid w:val="1FA4765D"/>
    <w:rsid w:val="1FB16189"/>
    <w:rsid w:val="1FCF4B1D"/>
    <w:rsid w:val="1FD646DD"/>
    <w:rsid w:val="1FE2166B"/>
    <w:rsid w:val="20120AD7"/>
    <w:rsid w:val="20357325"/>
    <w:rsid w:val="2055098A"/>
    <w:rsid w:val="20702194"/>
    <w:rsid w:val="20D005C2"/>
    <w:rsid w:val="21553C7F"/>
    <w:rsid w:val="222D2EDD"/>
    <w:rsid w:val="22320694"/>
    <w:rsid w:val="228E1A7C"/>
    <w:rsid w:val="22941ED8"/>
    <w:rsid w:val="22D4703C"/>
    <w:rsid w:val="22D52973"/>
    <w:rsid w:val="22E501F9"/>
    <w:rsid w:val="23087A91"/>
    <w:rsid w:val="23471EE9"/>
    <w:rsid w:val="2352717F"/>
    <w:rsid w:val="237041E3"/>
    <w:rsid w:val="237431B0"/>
    <w:rsid w:val="23C16288"/>
    <w:rsid w:val="247316FD"/>
    <w:rsid w:val="24887EA6"/>
    <w:rsid w:val="249204FC"/>
    <w:rsid w:val="24B456AA"/>
    <w:rsid w:val="24D25A92"/>
    <w:rsid w:val="251353A8"/>
    <w:rsid w:val="2582293E"/>
    <w:rsid w:val="25865479"/>
    <w:rsid w:val="259B1E7E"/>
    <w:rsid w:val="265165AD"/>
    <w:rsid w:val="268F05CC"/>
    <w:rsid w:val="27411DBA"/>
    <w:rsid w:val="27596E70"/>
    <w:rsid w:val="2770139F"/>
    <w:rsid w:val="279B5668"/>
    <w:rsid w:val="27B71403"/>
    <w:rsid w:val="27BD45D9"/>
    <w:rsid w:val="27BE28D4"/>
    <w:rsid w:val="284A4E31"/>
    <w:rsid w:val="2859370C"/>
    <w:rsid w:val="28CC55C8"/>
    <w:rsid w:val="29070618"/>
    <w:rsid w:val="2910479A"/>
    <w:rsid w:val="29BE6969"/>
    <w:rsid w:val="29E66142"/>
    <w:rsid w:val="2A024F82"/>
    <w:rsid w:val="2A5463A6"/>
    <w:rsid w:val="2A76755E"/>
    <w:rsid w:val="2AB252CF"/>
    <w:rsid w:val="2ADF3094"/>
    <w:rsid w:val="2B7A4EFF"/>
    <w:rsid w:val="2B9076E2"/>
    <w:rsid w:val="2B985C25"/>
    <w:rsid w:val="2BB84C19"/>
    <w:rsid w:val="2BC97D6F"/>
    <w:rsid w:val="2BD9140F"/>
    <w:rsid w:val="2BF67D7D"/>
    <w:rsid w:val="2C024CC5"/>
    <w:rsid w:val="2C237419"/>
    <w:rsid w:val="2C2C429B"/>
    <w:rsid w:val="2C531703"/>
    <w:rsid w:val="2C5B2BB8"/>
    <w:rsid w:val="2C69365C"/>
    <w:rsid w:val="2C8A703F"/>
    <w:rsid w:val="2CA624D2"/>
    <w:rsid w:val="2CAB2600"/>
    <w:rsid w:val="2CF6672E"/>
    <w:rsid w:val="2D56772A"/>
    <w:rsid w:val="2DED3F13"/>
    <w:rsid w:val="2E2B3406"/>
    <w:rsid w:val="2E4A7B35"/>
    <w:rsid w:val="2F1A1FC9"/>
    <w:rsid w:val="2F4B0088"/>
    <w:rsid w:val="2FAC409C"/>
    <w:rsid w:val="2FBD38F9"/>
    <w:rsid w:val="2FFB0F18"/>
    <w:rsid w:val="300D3841"/>
    <w:rsid w:val="303426E4"/>
    <w:rsid w:val="304A1A07"/>
    <w:rsid w:val="310A600B"/>
    <w:rsid w:val="31265690"/>
    <w:rsid w:val="31583588"/>
    <w:rsid w:val="318F3095"/>
    <w:rsid w:val="322054E2"/>
    <w:rsid w:val="325B7CF5"/>
    <w:rsid w:val="32696861"/>
    <w:rsid w:val="32FD4595"/>
    <w:rsid w:val="335B5D3E"/>
    <w:rsid w:val="338E2A94"/>
    <w:rsid w:val="33907B65"/>
    <w:rsid w:val="33A3385F"/>
    <w:rsid w:val="33DA5553"/>
    <w:rsid w:val="340269D0"/>
    <w:rsid w:val="34412505"/>
    <w:rsid w:val="345C5DB9"/>
    <w:rsid w:val="348B1AFA"/>
    <w:rsid w:val="34D53C58"/>
    <w:rsid w:val="350202EE"/>
    <w:rsid w:val="350D0E7D"/>
    <w:rsid w:val="35687CE4"/>
    <w:rsid w:val="362145A1"/>
    <w:rsid w:val="362C35A8"/>
    <w:rsid w:val="364F58B6"/>
    <w:rsid w:val="36740DD3"/>
    <w:rsid w:val="3681181F"/>
    <w:rsid w:val="36911E77"/>
    <w:rsid w:val="36932EDB"/>
    <w:rsid w:val="36B46682"/>
    <w:rsid w:val="3764581F"/>
    <w:rsid w:val="37BA5750"/>
    <w:rsid w:val="37CD16BE"/>
    <w:rsid w:val="37D43772"/>
    <w:rsid w:val="38114365"/>
    <w:rsid w:val="38C61923"/>
    <w:rsid w:val="38D67C8C"/>
    <w:rsid w:val="39023EF6"/>
    <w:rsid w:val="39256A34"/>
    <w:rsid w:val="39353471"/>
    <w:rsid w:val="3942301E"/>
    <w:rsid w:val="39877ADA"/>
    <w:rsid w:val="39C27E4A"/>
    <w:rsid w:val="39EA2C12"/>
    <w:rsid w:val="3A144156"/>
    <w:rsid w:val="3A175EE4"/>
    <w:rsid w:val="3A42463A"/>
    <w:rsid w:val="3A522EB0"/>
    <w:rsid w:val="3A7A48F4"/>
    <w:rsid w:val="3AA724BE"/>
    <w:rsid w:val="3B113C56"/>
    <w:rsid w:val="3B166EF3"/>
    <w:rsid w:val="3B2A1697"/>
    <w:rsid w:val="3B357729"/>
    <w:rsid w:val="3B6303A3"/>
    <w:rsid w:val="3B970652"/>
    <w:rsid w:val="3BDB376B"/>
    <w:rsid w:val="3C63749C"/>
    <w:rsid w:val="3C7C0AD9"/>
    <w:rsid w:val="3CA27920"/>
    <w:rsid w:val="3CAF6491"/>
    <w:rsid w:val="3CD76A5E"/>
    <w:rsid w:val="3CF526C6"/>
    <w:rsid w:val="3D8C7D9E"/>
    <w:rsid w:val="3D8F18F3"/>
    <w:rsid w:val="3DAB357F"/>
    <w:rsid w:val="3DBC736B"/>
    <w:rsid w:val="3DDC1CCC"/>
    <w:rsid w:val="3E044681"/>
    <w:rsid w:val="3E062AFC"/>
    <w:rsid w:val="3E474407"/>
    <w:rsid w:val="3E5C4F83"/>
    <w:rsid w:val="3E5E374E"/>
    <w:rsid w:val="3EB96119"/>
    <w:rsid w:val="3EBF12C6"/>
    <w:rsid w:val="3ED661F9"/>
    <w:rsid w:val="3EEB18FD"/>
    <w:rsid w:val="3FC364AB"/>
    <w:rsid w:val="400F6405"/>
    <w:rsid w:val="401E686E"/>
    <w:rsid w:val="40360DC4"/>
    <w:rsid w:val="4068667C"/>
    <w:rsid w:val="406D3CCC"/>
    <w:rsid w:val="40BD4D08"/>
    <w:rsid w:val="40E206DE"/>
    <w:rsid w:val="411A6716"/>
    <w:rsid w:val="41674852"/>
    <w:rsid w:val="41715365"/>
    <w:rsid w:val="41717D55"/>
    <w:rsid w:val="417F330F"/>
    <w:rsid w:val="418774A7"/>
    <w:rsid w:val="41B36892"/>
    <w:rsid w:val="423D0E1A"/>
    <w:rsid w:val="42BB3568"/>
    <w:rsid w:val="433618E3"/>
    <w:rsid w:val="43902F92"/>
    <w:rsid w:val="43BB5864"/>
    <w:rsid w:val="43D47283"/>
    <w:rsid w:val="44015158"/>
    <w:rsid w:val="443F6670"/>
    <w:rsid w:val="446A3592"/>
    <w:rsid w:val="44CB7309"/>
    <w:rsid w:val="44D65C21"/>
    <w:rsid w:val="44FE2221"/>
    <w:rsid w:val="45272B0A"/>
    <w:rsid w:val="455F48D6"/>
    <w:rsid w:val="45741C31"/>
    <w:rsid w:val="457B6D5D"/>
    <w:rsid w:val="457C53A0"/>
    <w:rsid w:val="457E1DBF"/>
    <w:rsid w:val="457F1C35"/>
    <w:rsid w:val="45B17D82"/>
    <w:rsid w:val="45BD5D2A"/>
    <w:rsid w:val="46185497"/>
    <w:rsid w:val="46947398"/>
    <w:rsid w:val="46A94114"/>
    <w:rsid w:val="4747483B"/>
    <w:rsid w:val="4752024C"/>
    <w:rsid w:val="479D34DA"/>
    <w:rsid w:val="47B36222"/>
    <w:rsid w:val="48384FF9"/>
    <w:rsid w:val="48863842"/>
    <w:rsid w:val="48B4556B"/>
    <w:rsid w:val="48D15C4E"/>
    <w:rsid w:val="4985592B"/>
    <w:rsid w:val="49DF2357"/>
    <w:rsid w:val="4A0B2CD5"/>
    <w:rsid w:val="4A312D13"/>
    <w:rsid w:val="4A431B58"/>
    <w:rsid w:val="4A8E3FAE"/>
    <w:rsid w:val="4B0044C6"/>
    <w:rsid w:val="4B726BBC"/>
    <w:rsid w:val="4BB23436"/>
    <w:rsid w:val="4C1A7FB6"/>
    <w:rsid w:val="4C4654A4"/>
    <w:rsid w:val="4C4C1D0E"/>
    <w:rsid w:val="4C9A4880"/>
    <w:rsid w:val="4CEC6E50"/>
    <w:rsid w:val="4D106A2B"/>
    <w:rsid w:val="4D55097D"/>
    <w:rsid w:val="4D5E77CB"/>
    <w:rsid w:val="4D76741B"/>
    <w:rsid w:val="4D9B0A0F"/>
    <w:rsid w:val="4DB6051A"/>
    <w:rsid w:val="4DCB6B4E"/>
    <w:rsid w:val="4DD71CE8"/>
    <w:rsid w:val="4DDA6DB5"/>
    <w:rsid w:val="4DDD6FB3"/>
    <w:rsid w:val="4E060928"/>
    <w:rsid w:val="4E4468D4"/>
    <w:rsid w:val="4E8B296E"/>
    <w:rsid w:val="4F3C0534"/>
    <w:rsid w:val="4F5F3126"/>
    <w:rsid w:val="4F7F7588"/>
    <w:rsid w:val="4FD61C47"/>
    <w:rsid w:val="4FEE3C8F"/>
    <w:rsid w:val="50332117"/>
    <w:rsid w:val="50343626"/>
    <w:rsid w:val="506E42FE"/>
    <w:rsid w:val="50D504DE"/>
    <w:rsid w:val="50EF7D38"/>
    <w:rsid w:val="51100F7F"/>
    <w:rsid w:val="5110162C"/>
    <w:rsid w:val="511C75E7"/>
    <w:rsid w:val="513C4BD8"/>
    <w:rsid w:val="51485795"/>
    <w:rsid w:val="514D4ED0"/>
    <w:rsid w:val="51582E03"/>
    <w:rsid w:val="51AA3409"/>
    <w:rsid w:val="5212048B"/>
    <w:rsid w:val="52503D47"/>
    <w:rsid w:val="52C252CC"/>
    <w:rsid w:val="532E2091"/>
    <w:rsid w:val="53D73C8B"/>
    <w:rsid w:val="542E3E3B"/>
    <w:rsid w:val="54516785"/>
    <w:rsid w:val="5454185E"/>
    <w:rsid w:val="5461053A"/>
    <w:rsid w:val="546C79AD"/>
    <w:rsid w:val="548328D3"/>
    <w:rsid w:val="54970FD2"/>
    <w:rsid w:val="54A05FA4"/>
    <w:rsid w:val="54E77D81"/>
    <w:rsid w:val="552672F6"/>
    <w:rsid w:val="55D5763D"/>
    <w:rsid w:val="55E1405A"/>
    <w:rsid w:val="561E045F"/>
    <w:rsid w:val="5651155E"/>
    <w:rsid w:val="56902235"/>
    <w:rsid w:val="56A960D5"/>
    <w:rsid w:val="579322BC"/>
    <w:rsid w:val="57DC07AC"/>
    <w:rsid w:val="58250A7C"/>
    <w:rsid w:val="585D0D73"/>
    <w:rsid w:val="5877287D"/>
    <w:rsid w:val="587E2B60"/>
    <w:rsid w:val="589C7904"/>
    <w:rsid w:val="58BF1CDD"/>
    <w:rsid w:val="593C58AC"/>
    <w:rsid w:val="59603DCC"/>
    <w:rsid w:val="59866208"/>
    <w:rsid w:val="59965ABB"/>
    <w:rsid w:val="59EF4C7E"/>
    <w:rsid w:val="5A5B670A"/>
    <w:rsid w:val="5A7523CD"/>
    <w:rsid w:val="5A984B29"/>
    <w:rsid w:val="5AC874F0"/>
    <w:rsid w:val="5AE56123"/>
    <w:rsid w:val="5B407769"/>
    <w:rsid w:val="5B531C67"/>
    <w:rsid w:val="5BA0270B"/>
    <w:rsid w:val="5BB07EA3"/>
    <w:rsid w:val="5C175839"/>
    <w:rsid w:val="5C2771BA"/>
    <w:rsid w:val="5CAE184C"/>
    <w:rsid w:val="5CCF3427"/>
    <w:rsid w:val="5CD958CD"/>
    <w:rsid w:val="5D557162"/>
    <w:rsid w:val="5DAC3546"/>
    <w:rsid w:val="5DB912E5"/>
    <w:rsid w:val="5E431810"/>
    <w:rsid w:val="5E654974"/>
    <w:rsid w:val="5E822C64"/>
    <w:rsid w:val="5E9E2143"/>
    <w:rsid w:val="5EA14CF3"/>
    <w:rsid w:val="5F2B1DDA"/>
    <w:rsid w:val="5F9E0A02"/>
    <w:rsid w:val="5FC76933"/>
    <w:rsid w:val="5FF77C05"/>
    <w:rsid w:val="602C263E"/>
    <w:rsid w:val="60307729"/>
    <w:rsid w:val="60337945"/>
    <w:rsid w:val="607A1087"/>
    <w:rsid w:val="60BF7B30"/>
    <w:rsid w:val="60DE1EFA"/>
    <w:rsid w:val="60E50712"/>
    <w:rsid w:val="61601756"/>
    <w:rsid w:val="62035611"/>
    <w:rsid w:val="620E1834"/>
    <w:rsid w:val="62281FEF"/>
    <w:rsid w:val="62492030"/>
    <w:rsid w:val="62D73A94"/>
    <w:rsid w:val="63116D75"/>
    <w:rsid w:val="63194217"/>
    <w:rsid w:val="632E78CB"/>
    <w:rsid w:val="63305152"/>
    <w:rsid w:val="63550450"/>
    <w:rsid w:val="63B63C60"/>
    <w:rsid w:val="64426ECA"/>
    <w:rsid w:val="64450612"/>
    <w:rsid w:val="644C4524"/>
    <w:rsid w:val="646A1271"/>
    <w:rsid w:val="646E44A6"/>
    <w:rsid w:val="65480800"/>
    <w:rsid w:val="656D328E"/>
    <w:rsid w:val="65883AB5"/>
    <w:rsid w:val="65F50F8E"/>
    <w:rsid w:val="661B6B3F"/>
    <w:rsid w:val="66312549"/>
    <w:rsid w:val="66397A67"/>
    <w:rsid w:val="665C112B"/>
    <w:rsid w:val="66875EE0"/>
    <w:rsid w:val="66984CCB"/>
    <w:rsid w:val="670C01C1"/>
    <w:rsid w:val="678455DD"/>
    <w:rsid w:val="67941311"/>
    <w:rsid w:val="679643F4"/>
    <w:rsid w:val="67C00163"/>
    <w:rsid w:val="68710EE3"/>
    <w:rsid w:val="688D12C9"/>
    <w:rsid w:val="689162A6"/>
    <w:rsid w:val="68B257B8"/>
    <w:rsid w:val="69405CFD"/>
    <w:rsid w:val="6951389C"/>
    <w:rsid w:val="698A0CA9"/>
    <w:rsid w:val="69BD05DB"/>
    <w:rsid w:val="69EC4C56"/>
    <w:rsid w:val="69F42D6B"/>
    <w:rsid w:val="6A0C5365"/>
    <w:rsid w:val="6A5C7947"/>
    <w:rsid w:val="6A6D3308"/>
    <w:rsid w:val="6A7F4F7B"/>
    <w:rsid w:val="6A9402CC"/>
    <w:rsid w:val="6AC55297"/>
    <w:rsid w:val="6AF6102C"/>
    <w:rsid w:val="6B114C1A"/>
    <w:rsid w:val="6B2A5A36"/>
    <w:rsid w:val="6B747130"/>
    <w:rsid w:val="6B7B5383"/>
    <w:rsid w:val="6B7F0D8F"/>
    <w:rsid w:val="6BB6752A"/>
    <w:rsid w:val="6BB85749"/>
    <w:rsid w:val="6BE31316"/>
    <w:rsid w:val="6C0D7C3B"/>
    <w:rsid w:val="6C1B1768"/>
    <w:rsid w:val="6C8E15FA"/>
    <w:rsid w:val="6DAC0B96"/>
    <w:rsid w:val="6DF9485E"/>
    <w:rsid w:val="6E2C5A0D"/>
    <w:rsid w:val="6F5F48E4"/>
    <w:rsid w:val="6F6019D1"/>
    <w:rsid w:val="6F6700E4"/>
    <w:rsid w:val="6F8C77B6"/>
    <w:rsid w:val="6FC32718"/>
    <w:rsid w:val="70252703"/>
    <w:rsid w:val="70543150"/>
    <w:rsid w:val="705B3889"/>
    <w:rsid w:val="7076728C"/>
    <w:rsid w:val="707E337E"/>
    <w:rsid w:val="70C715EC"/>
    <w:rsid w:val="7118323A"/>
    <w:rsid w:val="71307C87"/>
    <w:rsid w:val="713D0CB0"/>
    <w:rsid w:val="715520FA"/>
    <w:rsid w:val="721A2041"/>
    <w:rsid w:val="72863E4F"/>
    <w:rsid w:val="728B3C94"/>
    <w:rsid w:val="72A67657"/>
    <w:rsid w:val="72B91D1B"/>
    <w:rsid w:val="73000CF9"/>
    <w:rsid w:val="73126A27"/>
    <w:rsid w:val="73146673"/>
    <w:rsid w:val="73712B08"/>
    <w:rsid w:val="73C94A09"/>
    <w:rsid w:val="73DC46E0"/>
    <w:rsid w:val="73F03AA8"/>
    <w:rsid w:val="74123FA8"/>
    <w:rsid w:val="74154608"/>
    <w:rsid w:val="741A26D9"/>
    <w:rsid w:val="746D05F1"/>
    <w:rsid w:val="74D27347"/>
    <w:rsid w:val="74E4025B"/>
    <w:rsid w:val="751D07DD"/>
    <w:rsid w:val="75342426"/>
    <w:rsid w:val="755E7366"/>
    <w:rsid w:val="75615004"/>
    <w:rsid w:val="757B1C85"/>
    <w:rsid w:val="76085095"/>
    <w:rsid w:val="76AE4031"/>
    <w:rsid w:val="76B07C6D"/>
    <w:rsid w:val="76BC663E"/>
    <w:rsid w:val="771D706E"/>
    <w:rsid w:val="77464ED6"/>
    <w:rsid w:val="775537A9"/>
    <w:rsid w:val="77C2445C"/>
    <w:rsid w:val="78153E8C"/>
    <w:rsid w:val="782F1700"/>
    <w:rsid w:val="78343CE1"/>
    <w:rsid w:val="78366B65"/>
    <w:rsid w:val="788C033F"/>
    <w:rsid w:val="78C47FF0"/>
    <w:rsid w:val="78F718E7"/>
    <w:rsid w:val="79237FB0"/>
    <w:rsid w:val="79801765"/>
    <w:rsid w:val="79BE26D1"/>
    <w:rsid w:val="79BE5BBE"/>
    <w:rsid w:val="79C52AA7"/>
    <w:rsid w:val="79E42E56"/>
    <w:rsid w:val="7AF34F4B"/>
    <w:rsid w:val="7B6332DF"/>
    <w:rsid w:val="7B642DC3"/>
    <w:rsid w:val="7B9E0270"/>
    <w:rsid w:val="7C442459"/>
    <w:rsid w:val="7C7B6F55"/>
    <w:rsid w:val="7CAF622F"/>
    <w:rsid w:val="7CC30F06"/>
    <w:rsid w:val="7D327789"/>
    <w:rsid w:val="7D980474"/>
    <w:rsid w:val="7DFD0298"/>
    <w:rsid w:val="7E0F32C2"/>
    <w:rsid w:val="7E1356DA"/>
    <w:rsid w:val="7EE73054"/>
    <w:rsid w:val="7F246244"/>
    <w:rsid w:val="7F321906"/>
    <w:rsid w:val="7F3839CC"/>
    <w:rsid w:val="7FC53A36"/>
    <w:rsid w:val="7FE54E46"/>
    <w:rsid w:val="7FF5309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line="560" w:lineRule="exact"/>
      <w:jc w:val="center"/>
      <w:outlineLvl w:val="0"/>
    </w:pPr>
    <w:rPr>
      <w:rFonts w:eastAsia="黑体"/>
      <w:kern w:val="44"/>
      <w:sz w:val="32"/>
      <w:szCs w:val="20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line="560" w:lineRule="exact"/>
      <w:ind w:firstLine="640" w:firstLineChars="200"/>
      <w:outlineLvl w:val="1"/>
    </w:pPr>
    <w:rPr>
      <w:rFonts w:ascii="Arial" w:hAnsi="Arial" w:eastAsia="黑体"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Lines="200" w:afterLines="100" w:line="560" w:lineRule="exact"/>
      <w:jc w:val="center"/>
      <w:outlineLvl w:val="2"/>
    </w:pPr>
    <w:rPr>
      <w:sz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unhideWhenUsed/>
    <w:qFormat/>
    <w:uiPriority w:val="39"/>
    <w:pPr>
      <w:spacing w:line="560" w:lineRule="exact"/>
      <w:ind w:left="630" w:leftChars="300" w:right="630" w:rightChars="300"/>
    </w:pPr>
    <w:rPr>
      <w:rFonts w:eastAsia="楷体"/>
      <w:sz w:val="32"/>
    </w:rPr>
  </w:style>
  <w:style w:type="paragraph" w:customStyle="1" w:styleId="10">
    <w:name w:val="目录"/>
    <w:basedOn w:val="1"/>
    <w:uiPriority w:val="0"/>
    <w:pPr>
      <w:spacing w:line="560" w:lineRule="exact"/>
      <w:ind w:firstLine="880" w:firstLineChars="200"/>
    </w:pPr>
    <w:rPr>
      <w:rFonts w:eastAsia="楷体"/>
      <w:sz w:val="32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sz w:val="32"/>
    </w:rPr>
  </w:style>
  <w:style w:type="character" w:customStyle="1" w:styleId="12">
    <w:name w:val="标题 1 Char"/>
    <w:link w:val="2"/>
    <w:qFormat/>
    <w:uiPriority w:val="0"/>
    <w:rPr>
      <w:rFonts w:ascii="Calibri" w:hAnsi="Calibri" w:eastAsia="黑体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9</Pages>
  <Words>644</Words>
  <Characters>3677</Characters>
  <Lines>30</Lines>
  <Paragraphs>8</Paragraphs>
  <TotalTime>0</TotalTime>
  <ScaleCrop>false</ScaleCrop>
  <LinksUpToDate>false</LinksUpToDate>
  <CharactersWithSpaces>4313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2016-08-23T02:18:00Z</dcterms:created>
  <dc:creator>Sky123.Org</dc:creator>
  <cp:lastModifiedBy>Administrator</cp:lastModifiedBy>
  <dcterms:modified xsi:type="dcterms:W3CDTF">2017-02-16T16:39:37Z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