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沈阳市民用建筑节能条例</w:t>
      </w:r>
    </w:p>
    <w:p>
      <w:pPr>
        <w:pStyle w:val="7"/>
        <w:rPr>
          <w:rFonts w:hint="eastAsia"/>
          <w:lang w:val="en-US" w:eastAsia="zh-CN"/>
        </w:rPr>
      </w:pPr>
    </w:p>
    <w:p>
      <w:pPr>
        <w:pStyle w:val="7"/>
        <w:rPr>
          <w:rFonts w:hint="eastAsia"/>
          <w:lang w:val="en-US" w:eastAsia="zh-CN"/>
        </w:rPr>
      </w:pPr>
      <w:r>
        <w:rPr>
          <w:rFonts w:hint="eastAsia"/>
          <w:lang w:val="en-US" w:eastAsia="zh-CN"/>
        </w:rPr>
        <w:t>（2008年12月4日沈阳市第十四届人民代表大会常务委员会第七次会议通过  2009年1月9日辽宁省第十一届人民代表大会常务委员会第六次会议批准）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_Toc16160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_Toc15919 </w:instrText>
      </w:r>
      <w:r>
        <w:rPr>
          <w:rFonts w:hint="eastAsia"/>
          <w:lang w:val="en-US" w:eastAsia="zh-CN"/>
        </w:rPr>
        <w:fldChar w:fldCharType="separate"/>
      </w:r>
      <w:r>
        <w:rPr>
          <w:rFonts w:hint="eastAsia"/>
          <w:lang w:val="en-US" w:eastAsia="zh-CN"/>
        </w:rPr>
        <w:t>第二章  新建建筑节能</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_Toc25354 </w:instrText>
      </w:r>
      <w:r>
        <w:rPr>
          <w:rFonts w:hint="eastAsia"/>
          <w:lang w:val="en-US" w:eastAsia="zh-CN"/>
        </w:rPr>
        <w:fldChar w:fldCharType="separate"/>
      </w:r>
      <w:r>
        <w:rPr>
          <w:rFonts w:hint="eastAsia"/>
          <w:lang w:val="en-US" w:eastAsia="zh-CN"/>
        </w:rPr>
        <w:t>第三章  既有建筑节能</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_Toc13203 </w:instrText>
      </w:r>
      <w:r>
        <w:rPr>
          <w:rFonts w:hint="eastAsia"/>
          <w:lang w:val="en-US" w:eastAsia="zh-CN"/>
        </w:rPr>
        <w:fldChar w:fldCharType="separate"/>
      </w:r>
      <w:r>
        <w:rPr>
          <w:rFonts w:hint="eastAsia"/>
          <w:lang w:val="en-US" w:eastAsia="zh-CN"/>
        </w:rPr>
        <w:t>第四章  建筑用能系统运行节能</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_Toc21788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_Toc1476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6160"/>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根据《中华人民共和国节约能源法》、国务院《民用建筑节能条例》等有关法律、法规，结合本市实际，制定本条例。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凡在本市行政区域内进行民用建筑的新建建筑节能、既有建筑节能、建筑用能系统运行节能和实施对民用建筑节能的监督管理等活动，适用本条例。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建设行政主管部门负责本市民用建筑节能的监督管理工作，其所属的民用建筑节能管理机构具体负责民用建筑节能的日常管理工作。区、县（市）建设行政主管部门负责本行政区域内的民用建筑节能监督管理工作。市发展和改革、经济、财政、规划、房产、环保等有关部门应当按照职责分工，做好相关民用建筑节能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和区、县（市）人民政府应当将民用建筑节能纳入本级国民经济和社会发展规划、年度计划。市建设行政主管部门应当会同市发展和改革、经济、财政、规划、房产、环保等有关部门编制本市民用建筑节能专项规划和年度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应当设立民用建筑节能专项资金，用于支持民用建筑节能技术与产品研发推广、民用建筑节能示范试点工程、可再生能源技术应用、既有建筑节能改造、民用建筑节能宣传培训和表彰奖励等工作。市和区、县（市）人民政府应当将民用建筑节能管理经费列入同级财政预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市和区、县（市）人民政府应当对在民用建筑节能管理、科学研究和推广应用等工作中做出显著成绩以及检举严重违反民用建筑节能法规行为的单位和个人，给予表彰和奖励。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建设行政主管部门应当结合本市实际，根据法律、行政法规的规定适时发布民用建筑节能推广、限制或者禁止使用的技术、工艺、材料和设备目录。对未列入国家推广使用目录的建筑节能新技术、新工艺、新材料和新设备，市民用建筑节能管理机构应当组织技术论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建设行政主管部门应当对民用建筑设计、施工、监理和竣工验收过程中的节能标准和规范实施情况进行监督检查，及时纠正和处理违反民用建筑节能法律法规和标准、规范的行为。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鼓励和扶持民用建筑节能的科学研究和技术开发，推广民用建筑节能新技术、新工艺、新设备、新材料。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新建（改建、扩建）建筑工程、既有建筑节能改造应当采用优于国家民用建筑节能标准的地方民用建筑节能标准。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5919"/>
      <w:r>
        <w:rPr>
          <w:rFonts w:hint="eastAsia"/>
          <w:lang w:val="en-US" w:eastAsia="zh-CN"/>
        </w:rPr>
        <w:t>第二章  新建建筑节能</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建设单位应当在房屋施工、销售现场的显著位置将建筑的屋面隔热保温、墙体隔热保温、外门窗、暖通、电气节能和其他节能措施及其保护要求、节能工程质量保修期等民用建筑节能信息予以公示。公示的信息应当与审查通过的施工图设计文件一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设计单位应当按照国家和地方民用建筑节能标准进行设计，根据建筑形体、围护结构对民用建筑节能的影响，合理确定冷源、热源的形式和设备性能，选用成熟、可靠、先进、适用的节能技术、材料和产品。初步设计文件应当设民用建筑节能设计专篇；施工图设计文件应当包括民用建筑节能热工计算书、节点构造详图等内容。大型公共建筑工程设计方案应当同时报送有关民用建筑节能专题报告，明确民用建筑节能措施及目标等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施工图设计文件审查机构应当依法对民用建筑工程项目的施工图设计文件进行审查。未经审查或者经审查不符合民用建筑节能强制性标准的，建设行政主管部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门不得颁发施工许可证。审查合格的工程项目，建设单位应当在收到审查报告之日起10日内向市民用建筑节能管理机构备案。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市规划部门进行民用建筑规划审查时，应当就设计方案是否符合民用建筑节能强制性标准征求市建设行政主管部门的意见；对不符合民用建筑节能强制性标准的，不得颁发建设工程规划许可证。市建设行政主管部门应当在收到市规划部门征求意见材料之日起10日内提出书面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施工单位应当按照审查合格的施工图设计文件和民用建筑节能施工技术标准施工，不得擅自改变民用建筑节能设计，不得使用不符合施工图设计文件要求的墙体材料、保温材料、门窗、采暖制冷系统和照明设备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监理单位应当按照民用建筑节能技术标准、施工图设计文件，对建设工程实施监理，对不按照民用建筑节能强制性标准施工以及使用列入禁止目录的技术、工艺、材料和设备的，应当要求施工单位改正，对拒不改正的，应当向建设单位和建设行政主管部门报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建设工程质量监督机构应当加强对民用建筑节能标准执行情况的监督检查，对未按施工图设计文件进行施工和违反建筑节能标准的，应当责令改正。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建设单位组织民用建筑工程竣工验收，应当对民用建筑是否符合民用建筑节能强制性标准进行专项验收，对不符合民用建筑节能强制性标准的，不得出具竣工验收合格报告。在民用建筑工程竣工验收时，建设工程质量监督机构应当会同民用建筑节能管理机构，提出该工程项目的节能专项监督意见。建设行政主管部门发现建设单位在建筑工程竣工验收过程中，有违反民用建筑节能法律、法规行为的，责令停止使用，重新组织竣工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国家机关办公建筑和大型公共建筑工程竣工后，建设单位应当向市建设行政主管部门申请建筑能效测评。建设单位必须提供完整、准确的申报资料，并对其真实性负责。市建设行政主管部门应当组织有关机构对建筑能效进行测评，对测评合格的项目，根据测评结果颁发相应的建筑能效标识和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具备条件的民用建筑工程应当按照国家有关规定采用适合的太阳能、地热能等可再生能源技术。建设单位、设计单位和施工单位应当根据相关标准和规范，在民用建筑的设计和施工中，为可再生能源技术的应用提供必备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建筑工程采暖供热系统应当符合民用建筑节能标准的要求。实行集中供热的建筑应当安设供热系统调控装置、用热计量装置、室内温度调控装置。居住建筑安装的用热计量装置应当满足分户计量的要求。公共建筑应当安装用电分项计量装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5354"/>
      <w:r>
        <w:rPr>
          <w:rFonts w:hint="eastAsia"/>
          <w:lang w:val="en-US" w:eastAsia="zh-CN"/>
        </w:rPr>
        <w:t>第三章  既有建筑节能</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市和区、县（市）人民政府应当组织编制既有建筑节能改造规划和年度改造计划，并组织实施。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实施既有建筑节能改造，应当符合民用建筑节能强制性标准，优先采用保暖、改善通风等低成本改造措施。建筑围护结构改造应当与供热计量改造和供热系统改造同步进行。既有建筑节能改造应当确保房屋结构和防火安全，不降低建筑的抗震和使用功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既有建筑节能改造应当与旧城区改造、建筑物修缮、区域性热源改造等结合进行。列入拆迁范围内的建筑不得改造。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既有建筑节能改造包括下列内容：（一）建筑围护结构改造；（二）建筑物室内供热系统改造；（三）热源及供热管网热平衡改造；（四）其他符合国家既有建筑节能改造规定的内容。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既有建筑节能改造费用按照国家有关规定执行。鼓励社会资金多元化、多渠道投资既有建筑节能改造。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建设单位在既有建筑节能改造工程开工时，应当向建设行政主管部门备案。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3203"/>
      <w:r>
        <w:rPr>
          <w:rFonts w:hint="eastAsia"/>
          <w:lang w:val="en-US" w:eastAsia="zh-CN"/>
        </w:rPr>
        <w:t>第四章  建筑用能系统运行节能</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市节能行政主管部门应当会同市建设行政主管部门加强对采用空调采暖、制冷的公共建筑节能的监管，确定本市公共建筑重点用电单位及其年度用电限额。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国家机关办公建筑、公共建筑所有权人、使用权人以及其委托的物业服务企业等应当根据能源消耗指标、用能系统特征制定相应的节能运行管理制度和操作规程，定期对建筑物用能系统进行维护、检修、监测及更新置换，保证用能系统的运行符合民用建筑节能强制性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国家机关办公建筑和大型公共建筑的所有权人、使用权人或者其委托的物业服务企业应当建立建筑运行能耗统计档案，配合政府有关部门调查统计，如实提供建筑物能源消耗数据。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供热单位应当采用先进、节能的供热方式和系统装置，推进实施计量管理和按热计量收费。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民用建筑用能系统运行单位应当加强对作业人员和管理人员的节能教育和岗位培训。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bookmarkStart w:id="6" w:name="_GoBack"/>
      <w:bookmarkEnd w:id="6"/>
    </w:p>
    <w:p>
      <w:pPr>
        <w:pStyle w:val="2"/>
        <w:rPr>
          <w:rFonts w:hint="eastAsia"/>
          <w:lang w:val="en-US"/>
        </w:rPr>
      </w:pPr>
      <w:bookmarkStart w:id="4" w:name="_Toc21788"/>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违反本条例规定，设计单位未按照民用建筑节能强制性标准进行设计的，由建设行政主管部门责令改正，并处以10万元以上30万元以下罚款；情节严重的，降低资质等级或者吊销资质证书；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违反本条例规定，施工单位擅自改变民用建筑节能设计，使用不符合施工图设计文件要求的墙体材料、保温材料、门窗、采暖制冷系统和照明设备的，由建设行政主管部门责令改正，处10万元以上20万元以下的罚款；情节严重的，责令停业整顿，降低资质等级或者吊销资质证书；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违反本条例规定，监理单位未按照民用建筑节能强制性标准实施监理的，由建设行政主管部门责令限期改正；逾期未改正的，处10万元以上30万元以下罚款；情节严重的，责令停业整顿，降低资质等级或者吊销资质证书；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规定，建设单位对不符合民用建筑节能强制性标准的建筑项目出具竣工验收合格报告的，由建设行政主管部门责令改正，并处民用建筑项目合同价款2％以上4％以下的罚款；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当事人对行政处罚决定不服的，可以依法申请行政复议或者提起行政诉讼；逾期不申请行政复议也不提起行政诉讼又不履行行政处罚决定的，由作出处罚决定的行政机关申请人民法院强制执行。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市和区、县（市）建设行政主管部门以及其他有关部门工作人员滥用职权、徇私舞弊、玩忽职守的，依法给予行政处分；构成犯罪的，依法追究刑事责任。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1476"/>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本条例自2009年3月1日起施行。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13A565D"/>
    <w:rsid w:val="11A3282F"/>
    <w:rsid w:val="11BF194F"/>
    <w:rsid w:val="11E526F8"/>
    <w:rsid w:val="12032FD1"/>
    <w:rsid w:val="12501663"/>
    <w:rsid w:val="12921963"/>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76755E"/>
    <w:rsid w:val="2AB252CF"/>
    <w:rsid w:val="2ADF3094"/>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266F20"/>
    <w:rsid w:val="3D8C7D9E"/>
    <w:rsid w:val="3DDC1CCC"/>
    <w:rsid w:val="3E062AFC"/>
    <w:rsid w:val="3E474407"/>
    <w:rsid w:val="3E5C4F83"/>
    <w:rsid w:val="3E5E374E"/>
    <w:rsid w:val="3EB96119"/>
    <w:rsid w:val="3EBF12C6"/>
    <w:rsid w:val="3ED661F9"/>
    <w:rsid w:val="3FC364AB"/>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55097D"/>
    <w:rsid w:val="4D5E77CB"/>
    <w:rsid w:val="4D76741B"/>
    <w:rsid w:val="4D9B0A0F"/>
    <w:rsid w:val="4DB6051A"/>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32E2091"/>
    <w:rsid w:val="542E3E3B"/>
    <w:rsid w:val="5454185E"/>
    <w:rsid w:val="5461053A"/>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A7523CD"/>
    <w:rsid w:val="5AC874F0"/>
    <w:rsid w:val="5AE56123"/>
    <w:rsid w:val="5AF06C9D"/>
    <w:rsid w:val="5B407769"/>
    <w:rsid w:val="5BA0270B"/>
    <w:rsid w:val="5BB07EA3"/>
    <w:rsid w:val="5C175839"/>
    <w:rsid w:val="5CAE184C"/>
    <w:rsid w:val="5CCF3427"/>
    <w:rsid w:val="5CD958CD"/>
    <w:rsid w:val="5D4851DD"/>
    <w:rsid w:val="5D557162"/>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6C435DD"/>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C1B1768"/>
    <w:rsid w:val="6D7C2742"/>
    <w:rsid w:val="6DAC0B96"/>
    <w:rsid w:val="6DF9485E"/>
    <w:rsid w:val="6E2C5A0D"/>
    <w:rsid w:val="6E4D179F"/>
    <w:rsid w:val="6ED57BF0"/>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731B85"/>
    <w:rsid w:val="74D27347"/>
    <w:rsid w:val="74E4025B"/>
    <w:rsid w:val="75342426"/>
    <w:rsid w:val="755E7366"/>
    <w:rsid w:val="75615004"/>
    <w:rsid w:val="757B1C85"/>
    <w:rsid w:val="76AE4031"/>
    <w:rsid w:val="76B07C6D"/>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2017-02-16T16:46:51Z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