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kinsoku/>
        <w:wordWrap/>
        <w:overflowPunct/>
        <w:topLinePunct w:val="0"/>
        <w:autoSpaceDE/>
        <w:autoSpaceDN/>
        <w:bidi w:val="0"/>
        <w:adjustRightInd/>
        <w:snapToGrid/>
        <w:spacing w:line="560" w:lineRule="exact"/>
        <w:jc w:val="center"/>
        <w:textAlignment w:val="auto"/>
        <w:outlineLvl w:val="9"/>
        <w:rPr>
          <w:rFonts w:hint="eastAsia" w:ascii="方正小标宋简体" w:hAnsi="方正小标宋简体" w:eastAsia="方正小标宋简体" w:cs="方正小标宋简体"/>
          <w:kern w:val="2"/>
          <w:sz w:val="44"/>
          <w:szCs w:val="44"/>
          <w:lang w:val="en-US" w:eastAsia="zh-CN" w:bidi="ar-SA"/>
        </w:rPr>
      </w:pPr>
    </w:p>
    <w:p>
      <w:pPr>
        <w:pStyle w:val="8"/>
        <w:keepNext w:val="0"/>
        <w:keepLines w:val="0"/>
        <w:widowControl/>
        <w:suppressLineNumbers w:val="0"/>
        <w:spacing w:line="360" w:lineRule="auto"/>
        <w:jc w:val="center"/>
        <w:rPr>
          <w:rFonts w:hint="eastAsia" w:asciiTheme="minorEastAsia" w:hAnsiTheme="minorEastAsia" w:eastAsiaTheme="minorEastAsia" w:cstheme="minorEastAsia"/>
          <w:kern w:val="2"/>
          <w:sz w:val="44"/>
          <w:szCs w:val="44"/>
          <w:lang w:val="en-US" w:eastAsia="zh-CN" w:bidi="ar-SA"/>
        </w:rPr>
      </w:pPr>
      <w:r>
        <w:rPr>
          <w:rFonts w:hint="eastAsia" w:asciiTheme="minorEastAsia" w:hAnsiTheme="minorEastAsia" w:eastAsiaTheme="minorEastAsia" w:cstheme="minorEastAsia"/>
          <w:kern w:val="2"/>
          <w:sz w:val="44"/>
          <w:szCs w:val="44"/>
          <w:lang w:val="en-US" w:eastAsia="zh-CN" w:bidi="ar-SA"/>
        </w:rPr>
        <w:t>河北省公路条例</w:t>
      </w:r>
    </w:p>
    <w:p>
      <w:pPr>
        <w:pStyle w:val="8"/>
        <w:keepNext w:val="0"/>
        <w:keepLines w:val="0"/>
        <w:widowControl/>
        <w:suppressLineNumbers w:val="0"/>
        <w:spacing w:line="360" w:lineRule="auto"/>
        <w:jc w:val="center"/>
        <w:rPr>
          <w:rFonts w:hint="eastAsia" w:ascii="方正小标宋简体" w:hAnsi="方正小标宋简体" w:eastAsia="方正小标宋简体" w:cs="方正小标宋简体"/>
          <w:kern w:val="2"/>
          <w:sz w:val="44"/>
          <w:szCs w:val="44"/>
          <w:lang w:val="en-US" w:eastAsia="zh-CN" w:bidi="ar-SA"/>
        </w:rPr>
      </w:pPr>
    </w:p>
    <w:p>
      <w:pPr>
        <w:tabs>
          <w:tab w:val="left" w:pos="8235"/>
        </w:tabs>
        <w:overflowPunct/>
        <w:autoSpaceDE w:val="0"/>
        <w:autoSpaceDN w:val="0"/>
        <w:adjustRightInd w:val="0"/>
        <w:snapToGrid w:val="0"/>
        <w:spacing w:line="590" w:lineRule="exact"/>
        <w:ind w:left="420" w:leftChars="200" w:right="420" w:rightChars="200" w:firstLine="0" w:firstLineChars="0"/>
        <w:rPr>
          <w:rFonts w:hint="eastAsia" w:ascii="Times New Roman" w:hAnsi="Times New Roman" w:eastAsia="楷体_GB2312" w:cs="Times New Roman"/>
          <w:kern w:val="0"/>
          <w:sz w:val="32"/>
          <w:szCs w:val="32"/>
          <w:lang w:val="en-US" w:eastAsia="zh-CN"/>
        </w:rPr>
      </w:pPr>
      <w:bookmarkStart w:id="0" w:name="_GoBack"/>
      <w:r>
        <w:rPr>
          <w:rFonts w:hint="eastAsia" w:ascii="Times New Roman" w:hAnsi="Times New Roman" w:eastAsia="楷体_GB2312" w:cs="Times New Roman"/>
          <w:kern w:val="0"/>
          <w:sz w:val="32"/>
          <w:szCs w:val="32"/>
          <w:lang w:val="en-US" w:eastAsia="zh-CN"/>
        </w:rPr>
        <w:t>（2021年11月23日河北省第十三届人民代表大会</w:t>
      </w:r>
    </w:p>
    <w:p>
      <w:pPr>
        <w:tabs>
          <w:tab w:val="left" w:pos="8235"/>
        </w:tabs>
        <w:overflowPunct/>
        <w:autoSpaceDE w:val="0"/>
        <w:autoSpaceDN w:val="0"/>
        <w:adjustRightInd w:val="0"/>
        <w:snapToGrid w:val="0"/>
        <w:spacing w:line="590" w:lineRule="exact"/>
        <w:ind w:left="420" w:leftChars="200" w:right="420" w:rightChars="200" w:firstLine="0" w:firstLineChars="0"/>
        <w:rPr>
          <w:rFonts w:hint="eastAsia" w:ascii="Times New Roman" w:hAnsi="Times New Roman" w:eastAsia="楷体_GB2312" w:cs="Times New Roman"/>
          <w:kern w:val="0"/>
          <w:sz w:val="32"/>
          <w:szCs w:val="32"/>
          <w:lang w:val="en-US" w:eastAsia="zh-CN"/>
        </w:rPr>
      </w:pPr>
      <w:r>
        <w:rPr>
          <w:rFonts w:hint="eastAsia" w:ascii="Times New Roman" w:hAnsi="Times New Roman" w:eastAsia="楷体_GB2312" w:cs="Times New Roman"/>
          <w:kern w:val="0"/>
          <w:sz w:val="32"/>
          <w:szCs w:val="32"/>
          <w:lang w:val="en-US" w:eastAsia="zh-CN"/>
        </w:rPr>
        <w:t>常务委员会第二十七次会议通过）</w:t>
      </w:r>
    </w:p>
    <w:bookmarkEnd w:id="0"/>
    <w:p>
      <w:pPr>
        <w:snapToGrid w:val="0"/>
        <w:jc w:val="center"/>
        <w:rPr>
          <w:rFonts w:hint="eastAsia" w:ascii="仿宋" w:hAnsi="仿宋" w:eastAsia="仿宋" w:cs="仿宋"/>
          <w:sz w:val="32"/>
          <w:szCs w:val="32"/>
        </w:rPr>
      </w:pPr>
    </w:p>
    <w:p>
      <w:pPr>
        <w:pStyle w:val="8"/>
        <w:keepNext w:val="0"/>
        <w:keepLines w:val="0"/>
        <w:widowControl/>
        <w:suppressLineNumbers w:val="0"/>
        <w:spacing w:line="360" w:lineRule="auto"/>
        <w:jc w:val="both"/>
        <w:rPr>
          <w:rFonts w:hint="eastAsia" w:ascii="仿宋" w:hAnsi="仿宋" w:eastAsia="仿宋" w:cs="仿宋"/>
          <w:sz w:val="30"/>
          <w:szCs w:val="30"/>
        </w:rPr>
      </w:pPr>
    </w:p>
    <w:p>
      <w:pPr>
        <w:jc w:val="center"/>
        <w:rPr>
          <w:rFonts w:hint="eastAsia" w:ascii="仿宋_GB2312" w:hAnsi="仿宋_GB2312" w:eastAsia="仿宋_GB2312"/>
          <w:color w:val="auto"/>
          <w:kern w:val="2"/>
          <w:sz w:val="32"/>
          <w:szCs w:val="32"/>
          <w:lang w:val="en-US" w:eastAsia="zh-CN"/>
        </w:rPr>
      </w:pPr>
      <w:r>
        <w:rPr>
          <w:rFonts w:hint="eastAsia" w:ascii="黑体" w:eastAsia="黑体"/>
          <w:sz w:val="32"/>
          <w:szCs w:val="32"/>
        </w:rPr>
        <w:t>目</w:t>
      </w:r>
      <w:r>
        <w:rPr>
          <w:rFonts w:ascii="黑体" w:eastAsia="黑体"/>
          <w:sz w:val="32"/>
          <w:szCs w:val="32"/>
        </w:rPr>
        <w:t xml:space="preserve">  </w:t>
      </w:r>
      <w:r>
        <w:rPr>
          <w:rFonts w:hint="eastAsia" w:ascii="黑体" w:eastAsia="黑体"/>
          <w:sz w:val="32"/>
          <w:szCs w:val="32"/>
        </w:rPr>
        <w:t>录</w:t>
      </w:r>
    </w:p>
    <w:p>
      <w:pPr>
        <w:pStyle w:val="8"/>
        <w:keepNext w:val="0"/>
        <w:keepLines w:val="0"/>
        <w:widowControl/>
        <w:suppressLineNumbers w:val="0"/>
        <w:spacing w:line="360" w:lineRule="auto"/>
        <w:rPr>
          <w:rFonts w:hint="eastAsia" w:ascii="楷体_GB2312" w:hAnsi="黑体" w:eastAsia="楷体_GB2312" w:cs="黑体"/>
          <w:bCs/>
          <w:kern w:val="2"/>
          <w:sz w:val="32"/>
          <w:szCs w:val="32"/>
          <w:lang w:val="en-US" w:eastAsia="zh-CN"/>
        </w:rPr>
      </w:pP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总　　则</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公路发展规划与建设</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公路养护</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公路保护</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农村公路特别规定</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收费公路特别规定</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公路区域协同发展</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保障与监督</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法律责任</w:t>
      </w:r>
    </w:p>
    <w:p>
      <w:pPr>
        <w:pStyle w:val="13"/>
        <w:numPr>
          <w:ilvl w:val="0"/>
          <w:numId w:val="1"/>
        </w:numPr>
        <w:autoSpaceDE/>
        <w:autoSpaceDN/>
        <w:spacing w:before="0"/>
        <w:ind w:left="0" w:firstLine="420" w:firstLineChars="0"/>
        <w:jc w:val="both"/>
        <w:rPr>
          <w:rFonts w:hint="eastAsia" w:ascii="楷体_GB2312" w:hAnsi="黑体" w:eastAsia="楷体_GB2312" w:cs="黑体"/>
          <w:bCs/>
          <w:kern w:val="2"/>
          <w:sz w:val="32"/>
          <w:szCs w:val="32"/>
          <w:lang w:val="en-US" w:eastAsia="zh-CN"/>
        </w:rPr>
      </w:pPr>
      <w:r>
        <w:rPr>
          <w:rFonts w:hint="eastAsia" w:ascii="楷体_GB2312" w:hAnsi="黑体" w:eastAsia="楷体_GB2312" w:cs="黑体"/>
          <w:bCs/>
          <w:kern w:val="2"/>
          <w:sz w:val="32"/>
          <w:szCs w:val="32"/>
          <w:lang w:val="en-US" w:eastAsia="zh-CN"/>
        </w:rPr>
        <w:t>附　　则</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总　　则</w:t>
      </w:r>
    </w:p>
    <w:p>
      <w:pPr>
        <w:pStyle w:val="11"/>
        <w:numPr>
          <w:ilvl w:val="0"/>
          <w:numId w:val="0"/>
        </w:numPr>
        <w:rPr>
          <w:rFonts w:hint="eastAsia"/>
        </w:rPr>
      </w:pP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第一条</w:t>
      </w:r>
      <w:r>
        <w:rPr>
          <w:rFonts w:hint="eastAsia" w:ascii="仿宋" w:hAnsi="仿宋" w:eastAsia="仿宋" w:cs="仿宋"/>
          <w:kern w:val="2"/>
          <w:sz w:val="32"/>
          <w:szCs w:val="32"/>
          <w:lang w:val="en-US" w:eastAsia="zh-CN" w:bidi="ar-SA"/>
        </w:rPr>
        <w:t>　为了加强公路建设和管理，保障公路完好、安全和畅通，促进公路事业高质量发展，根据《中华人民共和国公路法》《公路安全保护条例》等有关法律、行政法规，结合本省实际，制定本条例。</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第二条</w:t>
      </w:r>
      <w:r>
        <w:rPr>
          <w:rFonts w:hint="eastAsia" w:ascii="仿宋" w:hAnsi="仿宋" w:eastAsia="仿宋" w:cs="仿宋"/>
          <w:kern w:val="2"/>
          <w:sz w:val="32"/>
          <w:szCs w:val="32"/>
          <w:lang w:val="en-US" w:eastAsia="zh-CN" w:bidi="ar-SA"/>
        </w:rPr>
        <w:t>　在本省行政区域内从事公路的规划、建设、养护、经营、使用、保护和管理等活动，适用本条例。</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本条例所称公路，包括公路桥梁、隧道和涵洞，按照其在公路路网中的地位分为国道、省道、县道、乡道、村道，其中，县道、乡道、村道统称农村公路。公路按照技术等级分为高速公路、一级公路、二级公路、三级公路和四级公路。</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textAlignment w:val="auto"/>
        <w:outlineLvl w:val="9"/>
        <w:rPr>
          <w:rFonts w:hint="eastAsia" w:ascii="仿宋" w:hAnsi="仿宋" w:eastAsia="仿宋" w:cs="仿宋"/>
          <w:sz w:val="30"/>
          <w:szCs w:val="30"/>
        </w:rPr>
      </w:pPr>
      <w:r>
        <w:rPr>
          <w:rFonts w:hint="eastAsia" w:ascii="仿宋" w:hAnsi="仿宋" w:eastAsia="仿宋" w:cs="仿宋"/>
          <w:b/>
          <w:sz w:val="30"/>
          <w:szCs w:val="30"/>
        </w:rPr>
        <w:t>　</w:t>
      </w:r>
      <w:r>
        <w:rPr>
          <w:rFonts w:hint="eastAsia" w:ascii="黑体" w:hAnsi="黑体" w:eastAsia="黑体" w:cs="黑体"/>
          <w:kern w:val="2"/>
          <w:sz w:val="32"/>
          <w:szCs w:val="32"/>
          <w:highlight w:val="none"/>
          <w:lang w:val="en-US" w:eastAsia="zh-CN" w:bidi="ar-SA"/>
        </w:rPr>
        <w:t>　第三条</w:t>
      </w:r>
      <w:r>
        <w:rPr>
          <w:rFonts w:hint="eastAsia" w:ascii="仿宋" w:hAnsi="仿宋" w:eastAsia="仿宋" w:cs="仿宋"/>
          <w:kern w:val="2"/>
          <w:sz w:val="32"/>
          <w:szCs w:val="32"/>
          <w:lang w:val="en-US" w:eastAsia="zh-CN" w:bidi="ar-SA"/>
        </w:rPr>
        <w:t>　公路发展应当遵循科学规划、合理布局，确保质量、建养并重，绿色智能、安全畅通的原则。</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第四条</w:t>
      </w:r>
      <w:r>
        <w:rPr>
          <w:rFonts w:hint="eastAsia" w:ascii="仿宋" w:hAnsi="仿宋" w:eastAsia="仿宋" w:cs="仿宋"/>
          <w:kern w:val="2"/>
          <w:sz w:val="32"/>
          <w:szCs w:val="32"/>
          <w:lang w:val="en-US" w:eastAsia="zh-CN" w:bidi="ar-SA"/>
        </w:rPr>
        <w:t>　县级以上人民政府应当加强对公路工作的领导，加大对公路事业的投入，将公路发展纳入国民经济和社会发展规划以及综合立体交通网规划，加强公路与其他运输方式的衔接协调，实现公路网与其他基础设施网融合发展，持续提升交通保障能力。</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第五条</w:t>
      </w:r>
      <w:r>
        <w:rPr>
          <w:rFonts w:hint="eastAsia" w:ascii="仿宋" w:hAnsi="仿宋" w:eastAsia="仿宋" w:cs="仿宋"/>
          <w:kern w:val="2"/>
          <w:sz w:val="32"/>
          <w:szCs w:val="32"/>
          <w:lang w:val="en-US" w:eastAsia="zh-CN" w:bidi="ar-SA"/>
        </w:rPr>
        <w:t>　县级以上人民政府交通运输主管部门主管本行政区域内公路工作。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县级以上人民政府发展改革、工业和信息化、公安、财政、自然资源、住房城乡建设、水行政、农业农村、市场监督管理、应急管理等部门在各自职责范围内，共同做好公路相关工作。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第六条</w:t>
      </w:r>
      <w:r>
        <w:rPr>
          <w:rFonts w:hint="eastAsia" w:ascii="仿宋" w:hAnsi="仿宋" w:eastAsia="仿宋" w:cs="仿宋"/>
          <w:kern w:val="2"/>
          <w:sz w:val="32"/>
          <w:szCs w:val="32"/>
          <w:lang w:val="en-US" w:eastAsia="zh-CN" w:bidi="ar-SA"/>
        </w:rPr>
        <w:t>　县级以上人民政府及其有关部门应当建立健全公路行业科学技术创新机制，鼓励科学技术创新和先进专利、专有技术的应用；鼓励运用互联网技术和信息化手段，推动公路数字化建设，搭建综合数字化平台，开展公路管控智能化等相关技术研发,构建安全、便捷、高效的现代智慧公路网。</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第七条</w:t>
      </w:r>
      <w:r>
        <w:rPr>
          <w:rFonts w:hint="eastAsia" w:ascii="仿宋" w:hAnsi="仿宋" w:eastAsia="仿宋" w:cs="仿宋"/>
          <w:kern w:val="2"/>
          <w:sz w:val="32"/>
          <w:szCs w:val="32"/>
          <w:lang w:val="en-US" w:eastAsia="zh-CN" w:bidi="ar-SA"/>
        </w:rPr>
        <w:t>　鼓励社会资本通过市场化方式参与公路投资、建设</w:t>
      </w:r>
      <w:r>
        <w:rPr>
          <w:rFonts w:hint="eastAsia" w:ascii="仿宋" w:hAnsi="仿宋" w:eastAsia="仿宋" w:cs="仿宋"/>
          <w:color w:val="000000" w:themeColor="text1"/>
          <w:kern w:val="2"/>
          <w:sz w:val="32"/>
          <w:szCs w:val="32"/>
          <w:lang w:val="en-US" w:eastAsia="zh-CN" w:bidi="ar-SA"/>
          <w14:textFill>
            <w14:solidFill>
              <w14:schemeClr w14:val="tx1"/>
            </w14:solidFill>
          </w14:textFill>
        </w:rPr>
        <w:t>、</w:t>
      </w:r>
      <w:r>
        <w:rPr>
          <w:rFonts w:hint="eastAsia" w:ascii="仿宋" w:hAnsi="仿宋" w:eastAsia="仿宋" w:cs="仿宋"/>
          <w:kern w:val="2"/>
          <w:sz w:val="32"/>
          <w:szCs w:val="32"/>
          <w:lang w:val="en-US" w:eastAsia="zh-CN" w:bidi="ar-SA"/>
        </w:rPr>
        <w:t>养护和经营等活动。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县级以上人民政府交通运输主管部门应当建立公平竞争的市场规则，保证各类市场主体及时获取有关信息，平等参与交易活动。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p>
    <w:p>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firstLine="0" w:firstLineChars="0"/>
        <w:jc w:val="center"/>
        <w:textAlignment w:val="auto"/>
        <w:outlineLvl w:val="9"/>
        <w:rPr>
          <w:rFonts w:hint="eastAsia" w:ascii="黑体" w:hAnsi="宋体" w:eastAsia="黑体" w:cs="黑体"/>
          <w:b w:val="0"/>
          <w:bCs/>
          <w:sz w:val="30"/>
          <w:szCs w:val="30"/>
          <w:lang w:eastAsia="zh-CN"/>
        </w:rPr>
      </w:pPr>
      <w:r>
        <w:rPr>
          <w:rFonts w:hint="eastAsia" w:ascii="黑体" w:hAnsi="宋体" w:eastAsia="黑体" w:cs="黑体"/>
          <w:b w:val="0"/>
          <w:bCs/>
          <w:sz w:val="30"/>
          <w:szCs w:val="30"/>
          <w:lang w:eastAsia="zh-CN"/>
        </w:rPr>
        <w:t>公路发展规划与建设</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b w:val="0"/>
          <w:bCs/>
          <w:sz w:val="30"/>
          <w:szCs w:val="30"/>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第八条</w:t>
      </w:r>
      <w:r>
        <w:rPr>
          <w:rFonts w:hint="eastAsia" w:ascii="仿宋" w:hAnsi="仿宋" w:eastAsia="仿宋" w:cs="仿宋"/>
          <w:kern w:val="2"/>
          <w:sz w:val="32"/>
          <w:szCs w:val="32"/>
          <w:lang w:val="en-US" w:eastAsia="zh-CN" w:bidi="ar-SA"/>
        </w:rPr>
        <w:t>　县级人民政府交通运输主管部门负责编制本行政区域内的农村公路发展规划，报县级人民政府批准，并报设区的市人民政府交通运输主管部门备案。</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设区的市人民政府交通运输主管部门负责编制本行政区域内的国道、省道发展规划，汇总所辖县（市、区）的农村公路发展规划，形成设区的市公路发展规划，经省人民政府交通运输主管部门同意，并报设区的市人民政府批准后发布。</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省人民政府交通运输主管部门负责统筹设区的市公路发展规划，负责编制全省公路发展规划，经省人民政府批准后发布。</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经批准的公路发展规划应当严格执行。确需修改的，由原编制机关提出修改方案，按照原批准程序报批。</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第九条</w:t>
      </w:r>
      <w:r>
        <w:rPr>
          <w:rFonts w:hint="eastAsia" w:ascii="仿宋" w:hAnsi="仿宋" w:eastAsia="仿宋" w:cs="仿宋"/>
          <w:kern w:val="2"/>
          <w:sz w:val="32"/>
          <w:szCs w:val="32"/>
          <w:lang w:val="en-US" w:eastAsia="zh-CN" w:bidi="ar-SA"/>
        </w:rPr>
        <w:t>　编制公路发展规划应当根据公路规划等相关规划，注重公路路网完善，公路等级、标准和服务水平提升，并与国民经济和社会发展规划、国土空间规划、区域规划及其他专项规划相衔接。</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第十条</w:t>
      </w:r>
      <w:r>
        <w:rPr>
          <w:rFonts w:hint="eastAsia" w:ascii="仿宋" w:hAnsi="仿宋" w:eastAsia="仿宋" w:cs="仿宋"/>
          <w:color w:val="FF0000"/>
          <w:kern w:val="2"/>
          <w:sz w:val="32"/>
          <w:szCs w:val="32"/>
          <w:lang w:val="en-US" w:eastAsia="zh-CN" w:bidi="ar-SA"/>
        </w:rPr>
        <w:t>　</w:t>
      </w:r>
      <w:r>
        <w:rPr>
          <w:rFonts w:hint="eastAsia" w:ascii="仿宋" w:hAnsi="仿宋" w:eastAsia="仿宋" w:cs="仿宋"/>
          <w:kern w:val="2"/>
          <w:sz w:val="32"/>
          <w:szCs w:val="32"/>
          <w:lang w:val="en-US" w:eastAsia="zh-CN" w:bidi="ar-SA"/>
        </w:rPr>
        <w:t>公路建设应当落实生态保护和水土保持要求，采用节能技术和清洁能源，推行废旧材料再生循环利用。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公路建设应当节约利用土地资源，从严控制占用耕地特别是优质耕地，严格避让永久基本农田，确需占用的，依照有关法律、行政法规的规定执行。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第十一条</w:t>
      </w:r>
      <w:r>
        <w:rPr>
          <w:rFonts w:hint="eastAsia" w:ascii="仿宋" w:hAnsi="仿宋" w:eastAsia="仿宋" w:cs="仿宋"/>
          <w:kern w:val="2"/>
          <w:sz w:val="32"/>
          <w:szCs w:val="32"/>
          <w:lang w:val="en-US" w:eastAsia="zh-CN" w:bidi="ar-SA"/>
        </w:rPr>
        <w:t>　县级以上人民政府负责依法组织实施国道、省道、县道、乡道建设项目涉及的土地征收、房屋征收、补偿安置、社会保障等工作，办理用地报批手续，组织查处抢栽、抢建行为，落实公路项目补充耕地任务。村道建设用地按照农业设施建设用地有关要求执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第十二条</w:t>
      </w:r>
      <w:r>
        <w:rPr>
          <w:rFonts w:hint="eastAsia" w:ascii="仿宋" w:hAnsi="仿宋" w:eastAsia="仿宋" w:cs="仿宋"/>
          <w:kern w:val="2"/>
          <w:sz w:val="32"/>
          <w:szCs w:val="32"/>
          <w:lang w:val="en-US" w:eastAsia="zh-CN" w:bidi="ar-SA"/>
        </w:rPr>
        <w:t>　公路建设应当符合公路发展规划和公路工程技术标准，遵守国家规定的基本建设程序，实施项目法人负责制度、招标投标制度、工程监理制度和合同管理制度。</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color w:val="C00000"/>
          <w:kern w:val="2"/>
          <w:sz w:val="28"/>
          <w:szCs w:val="28"/>
          <w:lang w:val="en-US" w:eastAsia="zh-CN" w:bidi="ar-SA"/>
        </w:rPr>
      </w:pPr>
      <w:r>
        <w:rPr>
          <w:rFonts w:hint="eastAsia" w:ascii="仿宋" w:hAnsi="仿宋" w:eastAsia="仿宋" w:cs="仿宋"/>
          <w:kern w:val="2"/>
          <w:sz w:val="32"/>
          <w:szCs w:val="32"/>
          <w:lang w:val="en-US" w:eastAsia="zh-CN" w:bidi="ar-SA"/>
        </w:rPr>
        <w:t>从事公路建设的勘察设计、施工、监理等单位应当按照国家有关规定建立健全质量安全保证体系，落实岗位责任制，并依照有关法律、法规、规章以及公路工程技术标准的要求和合同约定开展工作，保证公路工程质量和安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第十三条</w:t>
      </w:r>
      <w:r>
        <w:rPr>
          <w:rFonts w:hint="eastAsia" w:ascii="仿宋" w:hAnsi="仿宋" w:eastAsia="仿宋" w:cs="仿宋"/>
          <w:kern w:val="2"/>
          <w:sz w:val="32"/>
          <w:szCs w:val="32"/>
          <w:lang w:val="en-US" w:eastAsia="zh-CN" w:bidi="ar-SA"/>
        </w:rPr>
        <w:t>　公路建设施工现场实行标示牌管理。标示牌应当标明该项工程的作业内容，项目法人、勘察、设计、施工、监理单位名称和主要负责人姓名，接受社会监督。</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第十四条</w:t>
      </w:r>
      <w:r>
        <w:rPr>
          <w:rFonts w:hint="eastAsia" w:ascii="仿宋" w:hAnsi="仿宋" w:eastAsia="仿宋" w:cs="仿宋"/>
          <w:kern w:val="2"/>
          <w:sz w:val="32"/>
          <w:szCs w:val="32"/>
          <w:lang w:val="en-US" w:eastAsia="zh-CN" w:bidi="ar-SA"/>
        </w:rPr>
        <w:t>　新建、改建公路应当按照相关技术标准，统筹规划建设公路附属设施，所需经费纳入建设项目概算。公路交通标志、标线、隔离栅、防眩设施、视线诱导设施等交通安全设施应当与公路主体工程同时设计、同时施工、同时投入使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第十五条　</w:t>
      </w:r>
      <w:r>
        <w:rPr>
          <w:rFonts w:hint="eastAsia" w:ascii="仿宋" w:hAnsi="仿宋" w:eastAsia="仿宋" w:cs="仿宋"/>
          <w:kern w:val="2"/>
          <w:sz w:val="32"/>
          <w:szCs w:val="32"/>
          <w:lang w:val="en-US" w:eastAsia="zh-CN" w:bidi="ar-SA"/>
        </w:rPr>
        <w:t>公路建设项目实行质量保修制度。建设单位和施工单位应当在施工合同中明确工程的保修范围、保修期限和保修责任等。</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第十六条</w:t>
      </w:r>
      <w:r>
        <w:rPr>
          <w:rFonts w:hint="eastAsia" w:ascii="仿宋" w:hAnsi="仿宋" w:eastAsia="仿宋" w:cs="仿宋"/>
          <w:color w:val="000000" w:themeColor="text1"/>
          <w:kern w:val="2"/>
          <w:sz w:val="32"/>
          <w:szCs w:val="32"/>
          <w:lang w:val="en-US" w:eastAsia="zh-CN" w:bidi="ar-SA"/>
          <w14:textFill>
            <w14:solidFill>
              <w14:schemeClr w14:val="tx1"/>
            </w14:solidFill>
          </w14:textFill>
        </w:rPr>
        <w:t>　</w:t>
      </w:r>
      <w:r>
        <w:rPr>
          <w:rFonts w:hint="eastAsia" w:ascii="仿宋" w:hAnsi="仿宋" w:eastAsia="仿宋" w:cs="仿宋"/>
          <w:kern w:val="2"/>
          <w:sz w:val="32"/>
          <w:szCs w:val="32"/>
          <w:lang w:val="en-US" w:eastAsia="zh-CN" w:bidi="ar-SA"/>
        </w:rPr>
        <w:t>对利用堤顶、戗台或者坝顶兼做公路的，应当同时遵守公路和水利工程的法律、法规、规章和技术标准等规定。</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县级以上人民政府交通运输主管部门对公路建设项目兼有城市道路功能的，应当结合城市道路的功能、标准、非机动车和行人的通行需</w:t>
      </w:r>
      <w:r>
        <w:rPr>
          <w:rFonts w:hint="eastAsia" w:ascii="仿宋" w:hAnsi="仿宋" w:eastAsia="仿宋" w:cs="仿宋"/>
          <w:color w:val="000000" w:themeColor="text1"/>
          <w:kern w:val="2"/>
          <w:sz w:val="32"/>
          <w:szCs w:val="32"/>
          <w:lang w:val="en-US" w:eastAsia="zh-CN" w:bidi="ar-SA"/>
          <w14:textFill>
            <w14:solidFill>
              <w14:schemeClr w14:val="tx1"/>
            </w14:solidFill>
          </w14:textFill>
        </w:rPr>
        <w:t>求</w:t>
      </w:r>
      <w:r>
        <w:rPr>
          <w:rFonts w:hint="eastAsia" w:ascii="仿宋" w:hAnsi="仿宋" w:eastAsia="仿宋" w:cs="仿宋"/>
          <w:kern w:val="2"/>
          <w:sz w:val="32"/>
          <w:szCs w:val="32"/>
          <w:lang w:val="en-US" w:eastAsia="zh-CN" w:bidi="ar-SA"/>
        </w:rPr>
        <w:t>、路灯照明等市政配套设施，合理确定路基标高、路幅布置等建设方案，做好公路与城市道路的有效衔接。</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第十七条</w:t>
      </w:r>
      <w:r>
        <w:rPr>
          <w:rFonts w:hint="eastAsia" w:ascii="仿宋" w:hAnsi="仿宋" w:eastAsia="仿宋" w:cs="仿宋"/>
          <w:kern w:val="2"/>
          <w:sz w:val="32"/>
          <w:szCs w:val="32"/>
          <w:lang w:val="en-US" w:eastAsia="zh-CN" w:bidi="ar-SA"/>
        </w:rPr>
        <w:t>　鼓励运用市场化手段拓宽融资渠道，按照法定程序将土地出让、矿产开采、旅游开发等项目与公路建设项目结合，统筹项目一体化开发。</w:t>
      </w:r>
    </w:p>
    <w:p>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line="560" w:lineRule="exact"/>
        <w:ind w:right="0" w:rightChars="0" w:firstLine="560" w:firstLineChars="200"/>
        <w:textAlignment w:val="auto"/>
        <w:outlineLvl w:val="9"/>
        <w:rPr>
          <w:rFonts w:hint="eastAsia" w:ascii="仿宋" w:hAnsi="仿宋" w:eastAsia="仿宋" w:cs="仿宋"/>
          <w:color w:val="C00000"/>
          <w:kern w:val="2"/>
          <w:sz w:val="28"/>
          <w:szCs w:val="28"/>
          <w:lang w:val="en-US" w:eastAsia="zh-CN" w:bidi="ar-SA"/>
        </w:rPr>
      </w:pPr>
    </w:p>
    <w:p>
      <w:pPr>
        <w:pStyle w:val="8"/>
        <w:keepNext w:val="0"/>
        <w:keepLines w:val="0"/>
        <w:pageBreakBefore w:val="0"/>
        <w:widowControl/>
        <w:suppressLineNumbers w:val="0"/>
        <w:kinsoku/>
        <w:wordWrap/>
        <w:overflowPunct/>
        <w:topLinePunct w:val="0"/>
        <w:autoSpaceDE/>
        <w:autoSpaceDN/>
        <w:bidi w:val="0"/>
        <w:adjustRightInd/>
        <w:snapToGrid/>
        <w:spacing w:before="0" w:after="0" w:line="360" w:lineRule="auto"/>
        <w:jc w:val="center"/>
        <w:textAlignment w:val="auto"/>
        <w:outlineLvl w:val="9"/>
        <w:rPr>
          <w:rFonts w:hint="eastAsia"/>
          <w:lang w:val="en-US" w:eastAsia="zh-CN"/>
        </w:rPr>
      </w:pPr>
      <w:r>
        <w:rPr>
          <w:rFonts w:hint="eastAsia" w:ascii="黑体" w:hAnsi="黑体" w:eastAsia="黑体" w:cs="黑体"/>
          <w:kern w:val="2"/>
          <w:sz w:val="32"/>
          <w:szCs w:val="32"/>
          <w:lang w:val="en-US" w:eastAsia="zh-CN" w:bidi="ar-SA"/>
        </w:rPr>
        <w:t>第三章　公路养护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第十八条　</w:t>
      </w:r>
      <w:r>
        <w:rPr>
          <w:rFonts w:hint="eastAsia" w:ascii="仿宋" w:hAnsi="仿宋" w:eastAsia="仿宋" w:cs="仿宋"/>
          <w:kern w:val="2"/>
          <w:sz w:val="32"/>
          <w:szCs w:val="32"/>
          <w:lang w:val="en-US" w:eastAsia="zh-CN" w:bidi="ar-SA"/>
        </w:rPr>
        <w:t>公路养护应当坚持预防为主、防治结合的原则，按照有关技术规范和操作规程实施，保证公路经常处于良好的技术状态。</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第十九条</w:t>
      </w:r>
      <w:r>
        <w:rPr>
          <w:rFonts w:hint="eastAsia" w:ascii="仿宋" w:hAnsi="仿宋" w:eastAsia="仿宋" w:cs="仿宋"/>
          <w:kern w:val="2"/>
          <w:sz w:val="32"/>
          <w:szCs w:val="32"/>
          <w:lang w:val="en-US" w:eastAsia="zh-CN" w:bidi="ar-SA"/>
        </w:rPr>
        <w:t>　省人民政府交通运输主管部门负责全省公路养护监督管理工作。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收费公路养护由收费公路经营管理单位负责。</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非收费公路中，国道、省道养护由设区的市、县级人民政府交通运输主管部门负责，农村公路养护按照本条例第五章有关规定执行。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shd w:val="clear" w:color="auto" w:fill="auto"/>
          <w:lang w:val="en-US" w:eastAsia="zh-CN" w:bidi="ar-SA"/>
          <w14:textFill>
            <w14:solidFill>
              <w14:schemeClr w14:val="tx1"/>
            </w14:solidFill>
          </w14:textFill>
        </w:rPr>
        <w:t>第二十条</w:t>
      </w:r>
      <w:r>
        <w:rPr>
          <w:rFonts w:hint="eastAsia" w:ascii="仿宋" w:hAnsi="仿宋" w:eastAsia="仿宋" w:cs="仿宋"/>
          <w:color w:val="000000" w:themeColor="text1"/>
          <w:kern w:val="2"/>
          <w:sz w:val="32"/>
          <w:szCs w:val="32"/>
          <w:lang w:val="en-US" w:eastAsia="zh-CN" w:bidi="ar-SA"/>
          <w14:textFill>
            <w14:solidFill>
              <w14:schemeClr w14:val="tx1"/>
            </w14:solidFill>
          </w14:textFill>
        </w:rPr>
        <w:t>　</w:t>
      </w:r>
      <w:r>
        <w:rPr>
          <w:rFonts w:hint="eastAsia" w:ascii="仿宋" w:hAnsi="仿宋" w:eastAsia="仿宋" w:cs="仿宋"/>
          <w:kern w:val="2"/>
          <w:sz w:val="32"/>
          <w:szCs w:val="32"/>
          <w:lang w:val="en-US" w:eastAsia="zh-CN" w:bidi="ar-SA"/>
        </w:rPr>
        <w:t>公路养护管理机构、收费公路经营管理单位应当建立公路养护巡查制度，及时记录养护作业、巡查、检测和其他相关信息。对发现的可能影响公路安全的隐患进行调查、登记和评估，并及时消除安全隐患或者采取安全防范措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公路养护管理机构、收费公路经营管理单位对公安机关交通管理部门发现并向其通知的公路交通安全隐患，应当及时采取措施予以消除。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公民、法人或者其他组织发现可能影响公路安全的隐患时，可以向公路养护管理机构、收费公路经营管理单位或者公安机关交通管理部门报告。</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第二十一条　</w:t>
      </w:r>
      <w:r>
        <w:rPr>
          <w:rFonts w:hint="eastAsia" w:ascii="仿宋" w:hAnsi="仿宋" w:eastAsia="仿宋" w:cs="仿宋"/>
          <w:kern w:val="2"/>
          <w:sz w:val="32"/>
          <w:szCs w:val="32"/>
          <w:lang w:val="en-US" w:eastAsia="zh-CN" w:bidi="ar-SA"/>
        </w:rPr>
        <w:t>公路养护管理机构、收费公路经营管理单位应当定期对公路、公路桥梁、公路隧道进行检测和评定，保证其技术状态符合有关技术标准；对经检测发现不符合车辆通行安全要求的，应当进行维修，及时向社会公告，并通知公安机关交通管理部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第二十二条</w:t>
      </w:r>
      <w:r>
        <w:rPr>
          <w:rFonts w:hint="eastAsia" w:ascii="仿宋" w:hAnsi="仿宋" w:eastAsia="仿宋" w:cs="仿宋"/>
          <w:kern w:val="2"/>
          <w:sz w:val="32"/>
          <w:szCs w:val="32"/>
          <w:lang w:val="en-US" w:eastAsia="zh-CN" w:bidi="ar-SA"/>
        </w:rPr>
        <w:t>　公路养护作业应当及时发布信息。公路养护管理机构、收费公路经营管理单位、公路养护作业单位应当利用可变信息标志、交通广播、网络媒体、临时性交通标志等沿线设施、信息服务平台，及时发布前方公路或者区域路网内的养护作业信息，引导公众选择合理路线绕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养护作业需要封闭公路的，或者占用半幅公路进行作业，作业路段长度在两公里以上，并且作业期限超过三十日的，除紧急情况外，公路养护作业单位应当在作业开始之日前五日向社会公告，明确绕行路线，并在绕行处设置标志；不能绕行的，应当修建临时道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县级以上人民政府交通运输主管部门应当在公路明显位置公示养护责任单位名称、养护路段以及联系电话。</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 xml:space="preserve">第二十三条  </w:t>
      </w:r>
      <w:r>
        <w:rPr>
          <w:rFonts w:hint="eastAsia" w:ascii="仿宋" w:hAnsi="仿宋" w:eastAsia="仿宋" w:cs="仿宋"/>
          <w:kern w:val="2"/>
          <w:sz w:val="32"/>
          <w:szCs w:val="32"/>
          <w:lang w:val="en-US" w:eastAsia="zh-CN" w:bidi="ar-SA"/>
        </w:rPr>
        <w:t>公路跨越铁路、河流的，公路养护管理机构、收费公路经营管理单位开展日常养护、巡查、检查、评定养护施工等养护作业时，相关单位应当予以支持配合。</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 xml:space="preserve">第二十四条  </w:t>
      </w:r>
      <w:r>
        <w:rPr>
          <w:rFonts w:hint="eastAsia" w:ascii="仿宋" w:hAnsi="仿宋" w:eastAsia="仿宋" w:cs="仿宋"/>
          <w:kern w:val="2"/>
          <w:sz w:val="32"/>
          <w:szCs w:val="32"/>
          <w:lang w:val="en-US" w:eastAsia="zh-CN" w:bidi="ar-SA"/>
        </w:rPr>
        <w:t>公路养护管理机构、收费公路经营管理单位在相关部门协助下开展公路自然灾害普查工作，维护和完善公路防护工程和排水设施系统，提高公路的防灾减灾能力。</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黑体" w:hAnsi="黑体" w:eastAsia="黑体" w:cs="黑体"/>
          <w:kern w:val="2"/>
          <w:sz w:val="32"/>
          <w:szCs w:val="32"/>
          <w:highlight w:val="none"/>
          <w:lang w:val="en-US" w:eastAsia="zh-CN" w:bidi="ar-SA"/>
        </w:rPr>
      </w:pPr>
      <w:r>
        <w:rPr>
          <w:rFonts w:hint="default" w:ascii="仿宋" w:hAnsi="仿宋" w:eastAsia="仿宋" w:cs="仿宋"/>
          <w:kern w:val="2"/>
          <w:sz w:val="32"/>
          <w:szCs w:val="32"/>
          <w:lang w:val="en-US" w:eastAsia="zh-CN" w:bidi="ar-SA"/>
        </w:rPr>
        <w:t>发生自然灾害等突发事件致使公路严重受损时，</w:t>
      </w:r>
      <w:r>
        <w:rPr>
          <w:rFonts w:hint="eastAsia" w:ascii="仿宋" w:hAnsi="仿宋" w:eastAsia="仿宋" w:cs="仿宋"/>
          <w:kern w:val="2"/>
          <w:sz w:val="32"/>
          <w:szCs w:val="32"/>
          <w:lang w:val="en-US" w:eastAsia="zh-CN" w:bidi="ar-SA"/>
        </w:rPr>
        <w:t>公路养护管理机构</w:t>
      </w:r>
      <w:r>
        <w:rPr>
          <w:rFonts w:hint="default" w:ascii="仿宋" w:hAnsi="仿宋" w:eastAsia="仿宋" w:cs="仿宋"/>
          <w:kern w:val="2"/>
          <w:sz w:val="32"/>
          <w:szCs w:val="32"/>
          <w:lang w:val="en-US" w:eastAsia="zh-CN" w:bidi="ar-SA"/>
        </w:rPr>
        <w:t>、</w:t>
      </w:r>
      <w:r>
        <w:rPr>
          <w:rFonts w:hint="eastAsia" w:ascii="仿宋" w:hAnsi="仿宋" w:eastAsia="仿宋" w:cs="仿宋"/>
          <w:kern w:val="2"/>
          <w:sz w:val="32"/>
          <w:szCs w:val="32"/>
          <w:lang w:val="en-US" w:eastAsia="zh-CN" w:bidi="ar-SA"/>
        </w:rPr>
        <w:t>乡镇</w:t>
      </w:r>
      <w:r>
        <w:rPr>
          <w:rFonts w:hint="default" w:ascii="仿宋" w:hAnsi="仿宋" w:eastAsia="仿宋" w:cs="仿宋"/>
          <w:kern w:val="2"/>
          <w:sz w:val="32"/>
          <w:szCs w:val="32"/>
          <w:lang w:val="en-US" w:eastAsia="zh-CN" w:bidi="ar-SA"/>
        </w:rPr>
        <w:t>人民政府或者收费公路经营管理单位应当按照国家有关规定</w:t>
      </w:r>
      <w:r>
        <w:rPr>
          <w:rFonts w:hint="eastAsia" w:ascii="仿宋" w:hAnsi="仿宋" w:eastAsia="仿宋" w:cs="仿宋"/>
          <w:kern w:val="2"/>
          <w:sz w:val="32"/>
          <w:szCs w:val="32"/>
          <w:lang w:val="en-US" w:eastAsia="zh-CN" w:bidi="ar-SA"/>
        </w:rPr>
        <w:t>及时修复</w:t>
      </w:r>
      <w:r>
        <w:rPr>
          <w:rFonts w:hint="default" w:ascii="仿宋" w:hAnsi="仿宋" w:eastAsia="仿宋" w:cs="仿宋"/>
          <w:kern w:val="2"/>
          <w:sz w:val="32"/>
          <w:szCs w:val="32"/>
          <w:lang w:val="en-US" w:eastAsia="zh-CN" w:bidi="ar-SA"/>
        </w:rPr>
        <w:t>，</w:t>
      </w:r>
      <w:r>
        <w:rPr>
          <w:rFonts w:hint="eastAsia" w:ascii="仿宋" w:hAnsi="仿宋" w:eastAsia="仿宋" w:cs="仿宋"/>
          <w:kern w:val="2"/>
          <w:sz w:val="32"/>
          <w:szCs w:val="32"/>
          <w:lang w:val="en-US" w:eastAsia="zh-CN" w:bidi="ar-SA"/>
        </w:rPr>
        <w:t>并</w:t>
      </w:r>
      <w:r>
        <w:rPr>
          <w:rFonts w:hint="default" w:ascii="仿宋" w:hAnsi="仿宋" w:eastAsia="仿宋" w:cs="仿宋"/>
          <w:kern w:val="2"/>
          <w:sz w:val="32"/>
          <w:szCs w:val="32"/>
          <w:lang w:val="en-US" w:eastAsia="zh-CN" w:bidi="ar-SA"/>
        </w:rPr>
        <w:t>尽快恢复交通；因严重自然灾害等突发事件致使公路交通中断难以及时修复时，应当及时</w:t>
      </w:r>
      <w:r>
        <w:rPr>
          <w:rFonts w:hint="eastAsia" w:ascii="仿宋" w:hAnsi="仿宋" w:eastAsia="仿宋" w:cs="仿宋"/>
          <w:kern w:val="2"/>
          <w:sz w:val="32"/>
          <w:szCs w:val="32"/>
          <w:lang w:val="en-US" w:eastAsia="zh-CN" w:bidi="ar-SA"/>
        </w:rPr>
        <w:t>设置</w:t>
      </w:r>
      <w:r>
        <w:rPr>
          <w:rFonts w:hint="default" w:ascii="仿宋" w:hAnsi="仿宋" w:eastAsia="仿宋" w:cs="仿宋"/>
          <w:kern w:val="2"/>
          <w:sz w:val="32"/>
          <w:szCs w:val="32"/>
          <w:lang w:val="en-US" w:eastAsia="zh-CN" w:bidi="ar-SA"/>
        </w:rPr>
        <w:t>警示标志、限行封闭设施，同时通知公安机关交通管理部门</w:t>
      </w:r>
      <w:r>
        <w:rPr>
          <w:rFonts w:hint="eastAsia" w:ascii="仿宋" w:hAnsi="仿宋" w:eastAsia="仿宋" w:cs="仿宋"/>
          <w:kern w:val="2"/>
          <w:sz w:val="32"/>
          <w:szCs w:val="32"/>
          <w:lang w:val="en-US" w:eastAsia="zh-CN" w:bidi="ar-SA"/>
        </w:rPr>
        <w:t>公告限行</w:t>
      </w:r>
      <w:r>
        <w:rPr>
          <w:rFonts w:hint="default" w:ascii="仿宋" w:hAnsi="仿宋" w:eastAsia="仿宋" w:cs="仿宋"/>
          <w:kern w:val="2"/>
          <w:sz w:val="32"/>
          <w:szCs w:val="32"/>
          <w:lang w:val="en-US" w:eastAsia="zh-CN" w:bidi="ar-SA"/>
        </w:rPr>
        <w:t>信息</w:t>
      </w:r>
      <w:r>
        <w:rPr>
          <w:rFonts w:hint="eastAsia" w:ascii="仿宋" w:hAnsi="仿宋" w:eastAsia="仿宋" w:cs="仿宋"/>
          <w:kern w:val="2"/>
          <w:sz w:val="32"/>
          <w:szCs w:val="32"/>
          <w:lang w:val="en-US" w:eastAsia="zh-CN" w:bidi="ar-SA"/>
        </w:rPr>
        <w:t>和</w:t>
      </w:r>
      <w:r>
        <w:rPr>
          <w:rFonts w:hint="default" w:ascii="仿宋" w:hAnsi="仿宋" w:eastAsia="仿宋" w:cs="仿宋"/>
          <w:kern w:val="2"/>
          <w:sz w:val="32"/>
          <w:szCs w:val="32"/>
          <w:lang w:val="en-US" w:eastAsia="zh-CN" w:bidi="ar-SA"/>
        </w:rPr>
        <w:t>绕行路线</w:t>
      </w:r>
      <w:r>
        <w:rPr>
          <w:rFonts w:hint="eastAsia" w:ascii="仿宋" w:hAnsi="仿宋" w:eastAsia="仿宋" w:cs="仿宋"/>
          <w:kern w:val="2"/>
          <w:sz w:val="32"/>
          <w:szCs w:val="32"/>
          <w:lang w:val="en-US" w:eastAsia="zh-CN" w:bidi="ar-SA"/>
        </w:rPr>
        <w:t>，</w:t>
      </w:r>
      <w:r>
        <w:rPr>
          <w:rFonts w:hint="default" w:ascii="仿宋" w:hAnsi="仿宋" w:eastAsia="仿宋" w:cs="仿宋"/>
          <w:kern w:val="2"/>
          <w:sz w:val="32"/>
          <w:szCs w:val="32"/>
          <w:lang w:val="en-US" w:eastAsia="zh-CN" w:bidi="ar-SA"/>
        </w:rPr>
        <w:t>沿线各级人民政府应当及时组织力量进行抢修，并给予</w:t>
      </w:r>
      <w:r>
        <w:rPr>
          <w:rFonts w:hint="eastAsia" w:ascii="仿宋" w:hAnsi="仿宋" w:eastAsia="仿宋" w:cs="仿宋"/>
          <w:kern w:val="2"/>
          <w:sz w:val="32"/>
          <w:szCs w:val="32"/>
          <w:lang w:val="en-US" w:eastAsia="zh-CN" w:bidi="ar-SA"/>
        </w:rPr>
        <w:t>减</w:t>
      </w:r>
      <w:r>
        <w:rPr>
          <w:rFonts w:hint="default" w:ascii="仿宋" w:hAnsi="仿宋" w:eastAsia="仿宋" w:cs="仿宋"/>
          <w:kern w:val="2"/>
          <w:sz w:val="32"/>
          <w:szCs w:val="32"/>
          <w:lang w:val="en-US" w:eastAsia="zh-CN" w:bidi="ar-SA"/>
        </w:rPr>
        <w:t>灾物资、资金支持，及时修复被损坏的公路。</w:t>
      </w:r>
    </w:p>
    <w:p>
      <w:pPr>
        <w:pStyle w:val="8"/>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line="360" w:lineRule="auto"/>
        <w:ind w:firstLine="601"/>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第四章　公路保护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第二十五条</w:t>
      </w:r>
      <w:r>
        <w:rPr>
          <w:rFonts w:hint="eastAsia" w:ascii="仿宋" w:hAnsi="仿宋" w:eastAsia="仿宋" w:cs="仿宋"/>
          <w:kern w:val="2"/>
          <w:sz w:val="32"/>
          <w:szCs w:val="32"/>
          <w:lang w:val="en-US" w:eastAsia="zh-CN" w:bidi="ar-SA"/>
        </w:rPr>
        <w:t>　任何单位和个人不得破坏、损坏、非法占用或者非法利用公路、公路用地及公路附属设施。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第二十六条</w:t>
      </w:r>
      <w:r>
        <w:rPr>
          <w:rFonts w:hint="eastAsia" w:ascii="仿宋" w:hAnsi="仿宋" w:eastAsia="仿宋" w:cs="仿宋"/>
          <w:kern w:val="2"/>
          <w:sz w:val="32"/>
          <w:szCs w:val="32"/>
          <w:lang w:val="en-US" w:eastAsia="zh-CN" w:bidi="ar-SA"/>
        </w:rPr>
        <w:t>　国道、省道、县道、乡道建筑控制区的范围依照国家有关规定执行。村道按照从公路用地外缘起向外不少于三米的范围确定建筑控制区，穿村路段以及受地形、地质等自然条件限制的局部路段可以少于三米。</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公路建筑控制区内禁止修建建筑物和地面构筑物。</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第二十七条</w:t>
      </w:r>
      <w:r>
        <w:rPr>
          <w:rFonts w:hint="eastAsia" w:ascii="仿宋" w:hAnsi="仿宋" w:eastAsia="仿宋" w:cs="仿宋"/>
          <w:color w:val="000000" w:themeColor="text1"/>
          <w:kern w:val="2"/>
          <w:sz w:val="32"/>
          <w:szCs w:val="32"/>
          <w:lang w:val="en-US" w:eastAsia="zh-CN" w:bidi="ar-SA"/>
          <w14:textFill>
            <w14:solidFill>
              <w14:schemeClr w14:val="tx1"/>
            </w14:solidFill>
          </w14:textFill>
        </w:rPr>
        <w:t>　</w:t>
      </w:r>
      <w:r>
        <w:rPr>
          <w:rFonts w:hint="eastAsia" w:ascii="仿宋" w:hAnsi="仿宋" w:eastAsia="仿宋" w:cs="仿宋"/>
          <w:kern w:val="2"/>
          <w:sz w:val="32"/>
          <w:szCs w:val="32"/>
          <w:lang w:val="en-US" w:eastAsia="zh-CN" w:bidi="ar-SA"/>
        </w:rPr>
        <w:t>在公路上行驶的货运车辆的车货总质量、总长度、总宽度和总高度不得超过国家规定的限值。</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在公路显著位置，应当按照国家规定设置公路限速标志。公路限速值的设定应当符合国家和行业标准，综合考虑公路功能定位、技术指标、运行特征、路侧干扰、沿线环境和社会需求等因素。国道、省道的限速值一般不得低于公路设计速度，农村公路的限速值一般不得高于公路设计速度。</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公路涉及的村镇、学校路段以及交通通行量较大的路口，应当根据需要和有关行业标准设置必要的限速标志、减速标线等速度控制设施。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公路标志、标线的设置，应当符合公路工程技术标准，保持清晰、醒目、准确、完好。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shd w:val="clear" w:color="auto" w:fill="auto"/>
          <w:lang w:val="en-US" w:eastAsia="zh-CN" w:bidi="ar-SA"/>
          <w14:textFill>
            <w14:solidFill>
              <w14:schemeClr w14:val="tx1"/>
            </w14:solidFill>
          </w14:textFill>
        </w:rPr>
        <w:t>第二十八条</w:t>
      </w:r>
      <w:r>
        <w:rPr>
          <w:rFonts w:hint="eastAsia" w:ascii="仿宋" w:hAnsi="仿宋" w:eastAsia="仿宋" w:cs="仿宋"/>
          <w:kern w:val="2"/>
          <w:sz w:val="32"/>
          <w:szCs w:val="32"/>
          <w:lang w:val="en-US" w:eastAsia="zh-CN" w:bidi="ar-SA"/>
        </w:rPr>
        <w:t>　公路限高、限宽设施应当依法设置。</w:t>
      </w:r>
      <w:r>
        <w:rPr>
          <w:rFonts w:hint="eastAsia" w:ascii="仿宋" w:hAnsi="仿宋" w:eastAsia="仿宋" w:cs="仿宋"/>
          <w:kern w:val="2"/>
          <w:sz w:val="32"/>
          <w:szCs w:val="32"/>
          <w:shd w:val="clear" w:color="auto" w:fill="auto"/>
          <w:lang w:val="en-US" w:eastAsia="zh-CN" w:bidi="ar-SA"/>
        </w:rPr>
        <w:t>禁止任何单位和个人擅自设置妨碍车辆通行的公路限高、限宽设施。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县级以上人民政府及其交通运输主管部门、乡镇人民政府应当建立公路限高、限宽清单管理和公开公示制度。</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公路限高、限宽设置单位应当在明显位置公示设置单位名称、审批单位以及联系电话。</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第二十九条</w:t>
      </w:r>
      <w:r>
        <w:rPr>
          <w:rFonts w:hint="eastAsia" w:ascii="仿宋" w:hAnsi="仿宋" w:eastAsia="仿宋" w:cs="仿宋"/>
          <w:kern w:val="2"/>
          <w:sz w:val="32"/>
          <w:szCs w:val="32"/>
          <w:lang w:val="en-US" w:eastAsia="zh-CN" w:bidi="ar-SA"/>
        </w:rPr>
        <w:t>　县级以上人民政府应当建立政府领导、部门联动、企业履责、个人自律、社会监督相结合的治超工作机制，加强对货物运输车辆超限超载的治理。</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jc w:val="both"/>
        <w:textAlignment w:val="auto"/>
        <w:outlineLvl w:val="9"/>
        <w:rPr>
          <w:rFonts w:hint="eastAsia" w:ascii="黑体" w:hAnsi="黑体" w:eastAsia="黑体" w:cs="黑体"/>
          <w:color w:val="0000FF"/>
          <w:kern w:val="2"/>
          <w:sz w:val="32"/>
          <w:szCs w:val="32"/>
          <w:bdr w:val="single" w:sz="4" w:space="0"/>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第三十条</w:t>
      </w:r>
      <w:r>
        <w:rPr>
          <w:rFonts w:hint="eastAsia" w:ascii="仿宋" w:hAnsi="仿宋" w:eastAsia="仿宋" w:cs="仿宋"/>
          <w:color w:val="FF0000"/>
          <w:kern w:val="2"/>
          <w:sz w:val="32"/>
          <w:szCs w:val="32"/>
          <w:lang w:val="en-US" w:eastAsia="zh-CN" w:bidi="ar-SA"/>
        </w:rPr>
        <w:t>　</w:t>
      </w:r>
      <w:r>
        <w:rPr>
          <w:rFonts w:hint="eastAsia" w:ascii="仿宋" w:hAnsi="仿宋" w:eastAsia="仿宋" w:cs="仿宋"/>
          <w:kern w:val="2"/>
          <w:sz w:val="32"/>
          <w:szCs w:val="32"/>
          <w:lang w:val="en-US" w:eastAsia="zh-CN" w:bidi="ar-SA"/>
        </w:rPr>
        <w:t>砂石料、铁粉、煤炭、钢材、水泥、危险化学品等生产经营企业和港口、火车站、道路货物运输站场经营者，以及其他从事道路货物运输装载、配载的经营者（以下统称货运源头单位），不得放行违法超限超</w:t>
      </w:r>
      <w:r>
        <w:rPr>
          <w:rFonts w:hint="eastAsia" w:ascii="仿宋" w:hAnsi="仿宋" w:eastAsia="仿宋" w:cs="仿宋"/>
          <w:color w:val="000000" w:themeColor="text1"/>
          <w:kern w:val="2"/>
          <w:sz w:val="32"/>
          <w:szCs w:val="32"/>
          <w:lang w:val="en-US" w:eastAsia="zh-CN" w:bidi="ar-SA"/>
          <w14:textFill>
            <w14:solidFill>
              <w14:schemeClr w14:val="tx1"/>
            </w14:solidFill>
          </w14:textFill>
        </w:rPr>
        <w:t>载货运</w:t>
      </w:r>
      <w:r>
        <w:rPr>
          <w:rFonts w:hint="eastAsia" w:ascii="仿宋" w:hAnsi="仿宋" w:eastAsia="仿宋" w:cs="仿宋"/>
          <w:kern w:val="2"/>
          <w:sz w:val="32"/>
          <w:szCs w:val="32"/>
          <w:lang w:val="en-US" w:eastAsia="zh-CN" w:bidi="ar-SA"/>
        </w:rPr>
        <w:t>车辆驶出其经营场所。</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第三十一条</w:t>
      </w:r>
      <w:r>
        <w:rPr>
          <w:rFonts w:hint="eastAsia" w:ascii="仿宋" w:hAnsi="仿宋" w:eastAsia="仿宋" w:cs="仿宋"/>
          <w:color w:val="0000FF"/>
          <w:kern w:val="2"/>
          <w:sz w:val="32"/>
          <w:szCs w:val="32"/>
          <w:lang w:val="en-US" w:eastAsia="zh-CN" w:bidi="ar-SA"/>
        </w:rPr>
        <w:t>　</w:t>
      </w:r>
      <w:r>
        <w:rPr>
          <w:rFonts w:hint="eastAsia" w:ascii="仿宋" w:hAnsi="仿宋" w:eastAsia="仿宋" w:cs="仿宋"/>
          <w:kern w:val="2"/>
          <w:sz w:val="32"/>
          <w:szCs w:val="32"/>
          <w:lang w:val="en-US" w:eastAsia="zh-CN" w:bidi="ar-SA"/>
        </w:rPr>
        <w:t>设区的市、县级人民政府应当将货运源头单位向社会公示，接受社会监督。</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货运源头单位的生产经营主管部门应当落实安全生产行业监管责任，加强对货运源头单位装载行为的监督管理，督促货运源头单位履行主体责任。</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县级以上人民政府应当建立重点货运源头单位称重检测和远程监管制度，推动重点货运源头单位安装称重检测和视频监控等设备并联网运行。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第三十二条</w:t>
      </w:r>
      <w:r>
        <w:rPr>
          <w:rFonts w:hint="eastAsia" w:ascii="仿宋" w:hAnsi="仿宋" w:eastAsia="仿宋" w:cs="仿宋"/>
          <w:kern w:val="2"/>
          <w:sz w:val="32"/>
          <w:szCs w:val="32"/>
          <w:lang w:val="en-US" w:eastAsia="zh-CN" w:bidi="ar-SA"/>
        </w:rPr>
        <w:t>　交通运输主管部门、公安机关交通管理部门执法人员可以联合在货物装载源头周边道路、高速公路出入口、停车区、服务区等场所，对货运车辆开展超限超载运输流动执法检查。</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货运车辆驾驶人或者所有人应当主动配合执法检查，服从执法人员指挥，不得采取短途驳载等方式逃避超限检测。</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第三十三条</w:t>
      </w:r>
      <w:r>
        <w:rPr>
          <w:rFonts w:hint="eastAsia" w:ascii="仿宋" w:hAnsi="仿宋" w:eastAsia="仿宋" w:cs="仿宋"/>
          <w:kern w:val="2"/>
          <w:sz w:val="32"/>
          <w:szCs w:val="32"/>
          <w:lang w:val="en-US" w:eastAsia="zh-CN" w:bidi="ar-SA"/>
        </w:rPr>
        <w:t>　高速公路经营管理单位应当按照规定在高速公路入口设置称重检测设施，对发现的违法超限超载货运车辆，禁止驶入高速公路，并及时通知交通运输主管部门、公安机关交通管理部门处理。</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称重检测设施应当根据收费站场地条件和货车通行量等因素合理布设，避免影响其他车辆正常通行。</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textAlignment w:val="auto"/>
        <w:outlineLvl w:val="9"/>
        <w:rPr>
          <w:rFonts w:hint="eastAsia" w:ascii="仿宋" w:hAnsi="仿宋" w:eastAsia="仿宋" w:cs="仿宋"/>
          <w:b/>
          <w:sz w:val="30"/>
          <w:szCs w:val="30"/>
          <w:lang w:eastAsia="zh-CN"/>
        </w:rPr>
      </w:pPr>
      <w:r>
        <w:rPr>
          <w:rFonts w:hint="eastAsia" w:ascii="黑体" w:hAnsi="黑体" w:eastAsia="黑体" w:cs="黑体"/>
          <w:kern w:val="2"/>
          <w:sz w:val="32"/>
          <w:szCs w:val="32"/>
          <w:highlight w:val="none"/>
          <w:lang w:val="en-US" w:eastAsia="zh-CN" w:bidi="ar-SA"/>
        </w:rPr>
        <w:t>第三十四条</w:t>
      </w:r>
      <w:r>
        <w:rPr>
          <w:rFonts w:hint="eastAsia" w:ascii="仿宋" w:hAnsi="仿宋" w:eastAsia="仿宋" w:cs="仿宋"/>
          <w:kern w:val="2"/>
          <w:sz w:val="32"/>
          <w:szCs w:val="32"/>
          <w:lang w:val="en-US" w:eastAsia="zh-CN" w:bidi="ar-SA"/>
        </w:rPr>
        <w:t>　货运车辆应当按照交通标志、标线的指示通过超限运输检测监控区和高速公路入口称重区，不得以超低速行驶、急刹车、首尾紧随等方式干扰检测。</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第三十五条</w:t>
      </w:r>
      <w:r>
        <w:rPr>
          <w:rFonts w:hint="eastAsia" w:ascii="仿宋" w:hAnsi="仿宋" w:eastAsia="仿宋" w:cs="仿宋"/>
          <w:kern w:val="2"/>
          <w:sz w:val="32"/>
          <w:szCs w:val="32"/>
          <w:lang w:val="en-US" w:eastAsia="zh-CN" w:bidi="ar-SA"/>
        </w:rPr>
        <w:t>　收费公路经营管理单位应当对超限运输车辆通行证进行查验，发现车、证、货不一致的，交由交通运输主管部门、公安机关交通管理部门处理。</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textAlignment w:val="auto"/>
        <w:outlineLvl w:val="9"/>
        <w:rPr>
          <w:rFonts w:hint="eastAsia" w:ascii="仿宋" w:hAnsi="仿宋" w:eastAsia="仿宋" w:cs="仿宋"/>
          <w:b/>
          <w:sz w:val="30"/>
          <w:szCs w:val="30"/>
          <w:lang w:eastAsia="zh-CN"/>
        </w:rPr>
      </w:pPr>
    </w:p>
    <w:p>
      <w:pPr>
        <w:numPr>
          <w:ilvl w:val="0"/>
          <w:numId w:val="3"/>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农村公路特别规定</w:t>
      </w:r>
    </w:p>
    <w:p>
      <w:pPr>
        <w:pStyle w:val="11"/>
        <w:numPr>
          <w:ilvl w:val="0"/>
          <w:numId w:val="0"/>
        </w:numPr>
        <w:rPr>
          <w:rFonts w:hint="eastAsia"/>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第三十六条</w:t>
      </w:r>
      <w:r>
        <w:rPr>
          <w:rFonts w:hint="eastAsia" w:ascii="仿宋" w:hAnsi="仿宋" w:eastAsia="仿宋" w:cs="仿宋"/>
          <w:kern w:val="2"/>
          <w:sz w:val="32"/>
          <w:szCs w:val="32"/>
          <w:lang w:val="en-US" w:eastAsia="zh-CN" w:bidi="ar-SA"/>
        </w:rPr>
        <w:t>　农村公路发展应当遵循统筹规划、因地制宜、安全适用、生态环保的原则，以建好、管好、护好、运营好为目标，构建布局合理、衔接顺畅的农村公路网络，推进城乡融合发展，服务和支撑乡村振兴战略。</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lang w:val="en-US" w:eastAsia="zh-CN"/>
        </w:rPr>
      </w:pPr>
      <w:r>
        <w:rPr>
          <w:rFonts w:hint="eastAsia" w:ascii="黑体" w:hAnsi="黑体" w:eastAsia="黑体" w:cs="黑体"/>
          <w:kern w:val="2"/>
          <w:sz w:val="32"/>
          <w:szCs w:val="32"/>
          <w:highlight w:val="none"/>
          <w:lang w:val="en-US" w:eastAsia="zh-CN" w:bidi="ar-SA"/>
        </w:rPr>
        <w:t>第三十七条</w:t>
      </w:r>
      <w:r>
        <w:rPr>
          <w:rFonts w:hint="eastAsia" w:ascii="仿宋" w:hAnsi="仿宋" w:eastAsia="仿宋" w:cs="仿宋"/>
          <w:kern w:val="2"/>
          <w:sz w:val="32"/>
          <w:szCs w:val="32"/>
          <w:lang w:val="en-US" w:eastAsia="zh-CN" w:bidi="ar-SA"/>
        </w:rPr>
        <w:t>　县级人民政府是本行政区域农村公路工作的责任主体，负责组织乡镇人民政府和有关部门做好农村公路工作。农村公路工作应当纳入政府工作目标。</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县级人民政府交通运输主管部门具体负责县道的建设、管理和养护。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乡镇人民政府具体负责乡道、村道的建设、管理和养护。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村民委员会在乡镇人民政府的指导下，协助做好村道的建设、管理和养护等相关工作。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第三十八条</w:t>
      </w:r>
      <w:r>
        <w:rPr>
          <w:rFonts w:hint="eastAsia" w:ascii="仿宋" w:hAnsi="仿宋" w:eastAsia="仿宋" w:cs="仿宋"/>
          <w:kern w:val="2"/>
          <w:sz w:val="32"/>
          <w:szCs w:val="32"/>
          <w:lang w:val="en-US" w:eastAsia="zh-CN" w:bidi="ar-SA"/>
        </w:rPr>
        <w:t>　全面推行农村公路县、乡、村三级路长负责制。县级人民政府主要负责人任本行政区域农村公路总路长。县级人民政府分管交通运输工作的负责人任县级路长，乡镇人民政府和村民委员会主要负责人分别担任本行政区域乡级路长、村级路长。实行各级路长对总路长负责，下级路长对上级路长负责和部门分工负责的路长责任分工制度。</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color w:val="C00000"/>
          <w:kern w:val="2"/>
          <w:sz w:val="28"/>
          <w:szCs w:val="28"/>
          <w:lang w:val="en-US" w:eastAsia="zh-CN" w:bidi="ar-SA"/>
        </w:rPr>
      </w:pPr>
      <w:r>
        <w:rPr>
          <w:rFonts w:hint="eastAsia" w:ascii="仿宋" w:hAnsi="仿宋" w:eastAsia="仿宋" w:cs="仿宋"/>
          <w:kern w:val="2"/>
          <w:sz w:val="32"/>
          <w:szCs w:val="32"/>
          <w:lang w:val="en-US" w:eastAsia="zh-CN" w:bidi="ar-SA"/>
        </w:rPr>
        <w:t>总路长对全县农村公路建设、管理、养护、运营、路域环境综合整治负总责。县、乡、村路长按照职责分别对县道、乡道、村道的建设、管理、养护、运营、路域环境综合整治工作负责。</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第三十九条</w:t>
      </w:r>
      <w:r>
        <w:rPr>
          <w:rFonts w:hint="eastAsia" w:ascii="仿宋" w:hAnsi="仿宋" w:eastAsia="仿宋" w:cs="仿宋"/>
          <w:kern w:val="2"/>
          <w:sz w:val="32"/>
          <w:szCs w:val="32"/>
          <w:lang w:val="en-US" w:eastAsia="zh-CN" w:bidi="ar-SA"/>
        </w:rPr>
        <w:t>　省、设区的市人民政府应当加大农村公路建设、养护资金投入，建立农村公路建设与养护资金补助机制。</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县级人民政府应当履行主体责任，按照“有路必养、养必到位”的要求，将农村公路养护资金及管理机构运行经费和人员支出纳入一般公共财政预算。</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鼓励社会资金通过无偿捐助或者市场化等方式用于农村公路建设、养护。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第四十条</w:t>
      </w:r>
      <w:r>
        <w:rPr>
          <w:rFonts w:hint="eastAsia" w:ascii="仿宋" w:hAnsi="仿宋" w:eastAsia="仿宋" w:cs="仿宋"/>
          <w:kern w:val="2"/>
          <w:sz w:val="32"/>
          <w:szCs w:val="32"/>
          <w:lang w:val="en-US" w:eastAsia="zh-CN" w:bidi="ar-SA"/>
        </w:rPr>
        <w:t>　新建、改建农村公路，应当符合以下要求:</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（一）通乡镇的，不低于三级公路；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（二）通建制村的，不低于四级公路；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（三）通自然村（组）的，应当为硬化路。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因地形、地质等自然条件限制，无法达到前款规定技术标准的，应当经县级人民政府交通运输主管部门论证后实施。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黑体" w:hAnsi="黑体" w:eastAsia="黑体" w:cs="黑体"/>
          <w:b/>
          <w:sz w:val="30"/>
          <w:szCs w:val="30"/>
          <w:lang w:eastAsia="zh-CN"/>
        </w:rPr>
      </w:pPr>
      <w:r>
        <w:rPr>
          <w:rFonts w:hint="eastAsia" w:ascii="仿宋" w:hAnsi="仿宋" w:eastAsia="仿宋" w:cs="仿宋"/>
          <w:kern w:val="2"/>
          <w:sz w:val="32"/>
          <w:szCs w:val="32"/>
          <w:lang w:val="en-US" w:eastAsia="zh-CN" w:bidi="ar-SA"/>
        </w:rPr>
        <w:t>鼓励和支持县级人民政府根据当地经济发展水平建设较高技术等级农村公路。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第四十一条</w:t>
      </w:r>
      <w:r>
        <w:rPr>
          <w:rFonts w:hint="eastAsia" w:ascii="仿宋" w:hAnsi="仿宋" w:eastAsia="仿宋" w:cs="仿宋"/>
          <w:kern w:val="2"/>
          <w:sz w:val="32"/>
          <w:szCs w:val="32"/>
          <w:lang w:val="en-US" w:eastAsia="zh-CN" w:bidi="ar-SA"/>
        </w:rPr>
        <w:t>　列入农村公路发展规划的建设项目不再审批项目建议书，直接审批可行性研究报告。</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重要农村公路建设项目应当按照国家有关规定进行初步设计和施工图设计。</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一般农村公路建设项目可以直接进行施工图设计，多个项目可以一并编制施工图设计文件、开展招标、组织交工及竣工验收工作。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第四十二条</w:t>
      </w:r>
      <w:r>
        <w:rPr>
          <w:rFonts w:hint="eastAsia" w:ascii="仿宋" w:hAnsi="仿宋" w:eastAsia="仿宋" w:cs="仿宋"/>
          <w:kern w:val="2"/>
          <w:sz w:val="32"/>
          <w:szCs w:val="32"/>
          <w:lang w:val="en-US" w:eastAsia="zh-CN" w:bidi="ar-SA"/>
        </w:rPr>
        <w:t>　县级人民政府交通运输主管部门和乡镇人民政府应当编制农村公路年度养护计划，并组织实施。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省、设区的市人民政府交通运输主管部门应当定期组织对农村公路年度养护计划实施情况、农村公路技术状况进行抽查，并建立相应的奖惩机制。</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firstLineChars="200"/>
        <w:jc w:val="left"/>
        <w:textAlignment w:val="auto"/>
        <w:outlineLvl w:val="9"/>
        <w:rPr>
          <w:rFonts w:hint="eastAsia" w:ascii="黑体" w:hAnsi="黑体" w:eastAsia="黑体" w:cs="黑体"/>
          <w:b/>
          <w:sz w:val="30"/>
          <w:szCs w:val="30"/>
          <w:lang w:eastAsia="zh-CN"/>
        </w:rPr>
      </w:pPr>
    </w:p>
    <w:p>
      <w:pPr>
        <w:numPr>
          <w:ilvl w:val="0"/>
          <w:numId w:val="3"/>
        </w:numPr>
        <w:ind w:left="0" w:leftChars="0" w:firstLine="0" w:firstLineChars="0"/>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收费公路特别规定</w:t>
      </w:r>
    </w:p>
    <w:p>
      <w:pPr>
        <w:pStyle w:val="11"/>
        <w:numPr>
          <w:ilvl w:val="0"/>
          <w:numId w:val="0"/>
        </w:numPr>
        <w:ind w:leftChars="0"/>
        <w:rPr>
          <w:rFonts w:hint="eastAsia"/>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第四十三条</w:t>
      </w:r>
      <w:r>
        <w:rPr>
          <w:rFonts w:hint="eastAsia" w:ascii="仿宋" w:hAnsi="仿宋" w:eastAsia="仿宋" w:cs="仿宋"/>
          <w:kern w:val="2"/>
          <w:sz w:val="32"/>
          <w:szCs w:val="32"/>
          <w:lang w:val="en-US" w:eastAsia="zh-CN" w:bidi="ar-SA"/>
        </w:rPr>
        <w:t>　在收费公路上通行的车辆应当按照国家和本省规定交纳车辆通行费。收费公路可以根据不同路段、时段、车型等情形，经依法审批后实行差异化收费。</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收费公路经营管理单位对依法应当交纳而拒交、逃交、少交车辆通行费的车辆，有权拒绝其通行，并要求其补交应交纳的车辆通行费。</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省人民政府交通运输主管部门应当根据国家规定，定期发布收费公路统计公报。</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第四十四条</w:t>
      </w:r>
      <w:r>
        <w:rPr>
          <w:rFonts w:hint="eastAsia" w:ascii="仿宋" w:hAnsi="仿宋" w:eastAsia="仿宋" w:cs="仿宋"/>
          <w:kern w:val="2"/>
          <w:sz w:val="32"/>
          <w:szCs w:val="32"/>
          <w:lang w:val="en-US" w:eastAsia="zh-CN" w:bidi="ar-SA"/>
        </w:rPr>
        <w:t>　通过发行地方政府专项债券建设的政府收费公路，应当由省或者设区的市人民政府交通运输主管部门确定的不以营利为目的的法人组织建设、养护和运营。该法人组织可以与第三方机构签订协议，约定由其运营或者养护。</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经营性收费公路由依法成立的公路企业法人负责项目的建设、经营和管理。</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第四十五条</w:t>
      </w:r>
      <w:r>
        <w:rPr>
          <w:rFonts w:hint="eastAsia" w:ascii="仿宋" w:hAnsi="仿宋" w:eastAsia="仿宋" w:cs="仿宋"/>
          <w:kern w:val="2"/>
          <w:sz w:val="32"/>
          <w:szCs w:val="32"/>
          <w:lang w:val="en-US" w:eastAsia="zh-CN" w:bidi="ar-SA"/>
        </w:rPr>
        <w:t>　收费公路经营管理单位应当按照国家规定的标准和规范，对收费公路及沿线设施进行日常检查、维护，保证收费公路处于良好的技术状态，为通行车辆及人员提供优质服务。</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仿宋" w:hAnsi="仿宋" w:eastAsia="仿宋" w:cs="仿宋"/>
          <w:b/>
          <w:bCs/>
          <w:color w:val="7030A0"/>
          <w:kern w:val="2"/>
          <w:sz w:val="28"/>
          <w:szCs w:val="28"/>
          <w:lang w:val="en-US" w:eastAsia="zh-CN" w:bidi="ar-SA"/>
        </w:rPr>
      </w:pPr>
      <w:r>
        <w:rPr>
          <w:rFonts w:hint="eastAsia" w:ascii="仿宋" w:hAnsi="仿宋" w:eastAsia="仿宋" w:cs="仿宋"/>
          <w:kern w:val="2"/>
          <w:sz w:val="32"/>
          <w:szCs w:val="32"/>
          <w:lang w:val="en-US" w:eastAsia="zh-CN" w:bidi="ar-SA"/>
        </w:rPr>
        <w:t>收费公路经营管理单位应当加强交通电子监控设备建设，与公安机关交通管理部门共享记录信息，建立联合管控工作机制，保障交通安全有序。</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第四十六条</w:t>
      </w:r>
      <w:r>
        <w:rPr>
          <w:rFonts w:hint="eastAsia" w:ascii="仿宋" w:hAnsi="仿宋" w:eastAsia="仿宋" w:cs="仿宋"/>
          <w:kern w:val="2"/>
          <w:sz w:val="32"/>
          <w:szCs w:val="32"/>
          <w:lang w:val="en-US" w:eastAsia="zh-CN" w:bidi="ar-SA"/>
        </w:rPr>
        <w:t>　收费公路经营管理单位应当按照省人民政府交通运输主管部门的规定及时报送公路技术状况评定报告、养护工作计划及养护执行情况等资料，对不按照规定报送的由省人民政府交通运输主管部门责令整改。</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color w:val="000000" w:themeColor="text1"/>
          <w:kern w:val="2"/>
          <w:sz w:val="32"/>
          <w:szCs w:val="32"/>
          <w:lang w:val="en-US" w:eastAsia="zh-CN" w:bidi="ar-SA"/>
          <w14:textFill>
            <w14:solidFill>
              <w14:schemeClr w14:val="tx1"/>
            </w14:solidFill>
          </w14:textFill>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第四十七条</w:t>
      </w:r>
      <w:r>
        <w:rPr>
          <w:rFonts w:hint="eastAsia" w:ascii="仿宋" w:hAnsi="仿宋" w:eastAsia="仿宋" w:cs="仿宋"/>
          <w:kern w:val="2"/>
          <w:sz w:val="32"/>
          <w:szCs w:val="32"/>
          <w:lang w:val="en-US" w:eastAsia="zh-CN" w:bidi="ar-SA"/>
        </w:rPr>
        <w:t>　</w:t>
      </w:r>
      <w:r>
        <w:rPr>
          <w:rFonts w:hint="eastAsia" w:ascii="仿宋" w:hAnsi="仿宋" w:eastAsia="仿宋" w:cs="仿宋"/>
          <w:color w:val="000000" w:themeColor="text1"/>
          <w:kern w:val="2"/>
          <w:sz w:val="32"/>
          <w:szCs w:val="32"/>
          <w:lang w:val="en-US" w:eastAsia="zh-CN" w:bidi="ar-SA"/>
          <w14:textFill>
            <w14:solidFill>
              <w14:schemeClr w14:val="tx1"/>
            </w14:solidFill>
          </w14:textFill>
        </w:rPr>
        <w:t>高速公路经营管理单位应当按照有关规定按时、足额解缴通行费，上传收费、监控等运行信息。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联网清算企业、电子通行介质发行企业等单位应当按照有关规定及时将应付款足额划拨至相应结算账户，并上传通行费清分结算信息。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省人民政府交通运输主管部门应当加强对高速公路联网收费资金清分结算等工作的监管，对相关单位上传的数据信息进行监督检查，对不符合有关规定的责任单位责令整改。</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第四十八条</w:t>
      </w:r>
      <w:r>
        <w:rPr>
          <w:rFonts w:hint="eastAsia" w:ascii="仿宋" w:hAnsi="仿宋" w:eastAsia="仿宋" w:cs="仿宋"/>
          <w:kern w:val="2"/>
          <w:sz w:val="32"/>
          <w:szCs w:val="32"/>
          <w:lang w:val="en-US" w:eastAsia="zh-CN" w:bidi="ar-SA"/>
        </w:rPr>
        <w:t>　交通运输主管部门、公安机关交通管理部门和收费公路经营管理单位应当建立联动工作机制，遇有公路严重损毁、恶劣天气、交通事故以及交通管制等情形，施行限制通行、关闭公路等措施时，应当及时向社会发布相关信息，做好交通疏导工作，保障车辆安全</w:t>
      </w:r>
      <w:r>
        <w:rPr>
          <w:rFonts w:hint="eastAsia" w:ascii="仿宋" w:hAnsi="仿宋" w:eastAsia="仿宋" w:cs="仿宋"/>
          <w:color w:val="000000" w:themeColor="text1"/>
          <w:kern w:val="2"/>
          <w:sz w:val="32"/>
          <w:szCs w:val="32"/>
          <w:lang w:val="en-US" w:eastAsia="zh-CN" w:bidi="ar-SA"/>
          <w14:textFill>
            <w14:solidFill>
              <w14:schemeClr w14:val="tx1"/>
            </w14:solidFill>
          </w14:textFill>
        </w:rPr>
        <w:t>，并加快修复</w:t>
      </w:r>
      <w:r>
        <w:rPr>
          <w:rFonts w:hint="eastAsia" w:ascii="仿宋" w:hAnsi="仿宋" w:eastAsia="仿宋" w:cs="仿宋"/>
          <w:kern w:val="2"/>
          <w:sz w:val="32"/>
          <w:szCs w:val="32"/>
          <w:lang w:val="en-US" w:eastAsia="zh-CN" w:bidi="ar-SA"/>
        </w:rPr>
        <w:t>进度，尽快恢复通行。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收费公路经营管理单位应当通过在收费站、服务区、重点路段等区域设立信息发布设施设备或者采取其他方式，及时发布并更新通行状况、施工作业、气象预报等服务信息。</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p>
    <w:p>
      <w:pPr>
        <w:numPr>
          <w:ilvl w:val="0"/>
          <w:numId w:val="3"/>
        </w:numPr>
        <w:ind w:left="0" w:leftChars="0" w:firstLine="0" w:firstLineChars="0"/>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公路区域协同发展</w:t>
      </w:r>
    </w:p>
    <w:p>
      <w:pPr>
        <w:pStyle w:val="11"/>
        <w:numPr>
          <w:ilvl w:val="0"/>
          <w:numId w:val="0"/>
        </w:numPr>
        <w:ind w:leftChars="0"/>
        <w:rPr>
          <w:rFonts w:hint="eastAsia"/>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第四十九条</w:t>
      </w:r>
      <w:r>
        <w:rPr>
          <w:rFonts w:hint="eastAsia" w:ascii="仿宋" w:hAnsi="仿宋" w:eastAsia="仿宋" w:cs="仿宋"/>
          <w:kern w:val="2"/>
          <w:sz w:val="32"/>
          <w:szCs w:val="32"/>
          <w:lang w:val="en-US" w:eastAsia="zh-CN" w:bidi="ar-SA"/>
        </w:rPr>
        <w:t>　省人民政府交通运输主管部门应当加强与北京市、天津市以及周边地区人民政府交通运输主管部门的沟通协调，提高省际公路通达能力，推进形成便捷高效的区域公路网络。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第五十条</w:t>
      </w:r>
      <w:r>
        <w:rPr>
          <w:rFonts w:hint="eastAsia" w:ascii="仿宋" w:hAnsi="仿宋" w:eastAsia="仿宋" w:cs="仿宋"/>
          <w:kern w:val="2"/>
          <w:sz w:val="32"/>
          <w:szCs w:val="32"/>
          <w:lang w:val="en-US" w:eastAsia="zh-CN" w:bidi="ar-SA"/>
        </w:rPr>
        <w:t>　县级以上人民政府交通运输主管部门编制的本行政区域内的公路发展规划，应当符合京津冀协同发展、中原经济区建设等国家战略要求，与周边地区公路网协调一致、统筹衔接。</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第五十一条</w:t>
      </w:r>
      <w:r>
        <w:rPr>
          <w:rFonts w:hint="eastAsia" w:ascii="仿宋" w:hAnsi="仿宋" w:eastAsia="仿宋" w:cs="仿宋"/>
          <w:kern w:val="2"/>
          <w:sz w:val="32"/>
          <w:szCs w:val="32"/>
          <w:lang w:val="en-US" w:eastAsia="zh-CN" w:bidi="ar-SA"/>
        </w:rPr>
        <w:t>　需要对接的新建公路项目，有关交通运输主管部门应当协商一致，按照标准统一、建设同步的原则实施，促进公路区域协同发展。协商不成的，由上一级交通运输主管部门协调解决。</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第五十二条</w:t>
      </w:r>
      <w:r>
        <w:rPr>
          <w:rFonts w:hint="eastAsia" w:ascii="仿宋" w:hAnsi="仿宋" w:eastAsia="仿宋" w:cs="仿宋"/>
          <w:kern w:val="2"/>
          <w:sz w:val="32"/>
          <w:szCs w:val="32"/>
          <w:lang w:val="en-US" w:eastAsia="zh-CN" w:bidi="ar-SA"/>
        </w:rPr>
        <w:t>　在省际交界区域实施公路改建、扩建和养护作业的，省人民政府交通运输主管部门应当商周边地区人民政府交通运输主管部门统筹安排作业计划。公路作业可能影响道路通行的，省人民政府交通运输主管部门、公安机关交通管理部门应当共同确定分流路线，制定疏导预案，并协调对接周边地区有关部门。</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第五十三条</w:t>
      </w:r>
      <w:r>
        <w:rPr>
          <w:rFonts w:hint="eastAsia" w:ascii="仿宋" w:hAnsi="仿宋" w:eastAsia="仿宋" w:cs="仿宋"/>
          <w:kern w:val="2"/>
          <w:sz w:val="32"/>
          <w:szCs w:val="32"/>
          <w:lang w:val="en-US" w:eastAsia="zh-CN" w:bidi="ar-SA"/>
        </w:rPr>
        <w:t>　省人民政府交通运输主管部门应当与北京市、天津市及周边地区人民政府交通运输主管部门建立区域联合执法机制，加强区域公路执法信息共享和预警联动，促进区域公路管理工作联防联治。</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jc w:val="both"/>
        <w:textAlignment w:val="auto"/>
        <w:outlineLvl w:val="9"/>
        <w:rPr>
          <w:rFonts w:hint="eastAsia" w:ascii="仿宋" w:hAnsi="仿宋" w:eastAsia="仿宋" w:cs="仿宋"/>
          <w:b/>
          <w:color w:val="0000FF"/>
          <w:sz w:val="28"/>
          <w:szCs w:val="28"/>
          <w:lang w:eastAsia="zh-CN"/>
        </w:rPr>
      </w:pPr>
    </w:p>
    <w:p>
      <w:pPr>
        <w:numPr>
          <w:ilvl w:val="0"/>
          <w:numId w:val="3"/>
        </w:numPr>
        <w:ind w:left="0" w:leftChars="0" w:firstLine="0" w:firstLineChars="0"/>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保障与监督</w:t>
      </w:r>
    </w:p>
    <w:p>
      <w:pPr>
        <w:pStyle w:val="11"/>
        <w:numPr>
          <w:ilvl w:val="0"/>
          <w:numId w:val="0"/>
        </w:numPr>
        <w:ind w:leftChars="0"/>
        <w:rPr>
          <w:rFonts w:hint="eastAsia"/>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第五十四条</w:t>
      </w:r>
      <w:r>
        <w:rPr>
          <w:rFonts w:hint="eastAsia" w:ascii="仿宋" w:hAnsi="仿宋" w:eastAsia="仿宋" w:cs="仿宋"/>
          <w:kern w:val="2"/>
          <w:sz w:val="32"/>
          <w:szCs w:val="32"/>
          <w:lang w:val="en-US" w:eastAsia="zh-CN" w:bidi="ar-SA"/>
        </w:rPr>
        <w:t>　县级以上人民政府交通运输主管部门应当建立公路建设、管理、养护、运行一体的综合性管理服务平台，推进公路数据共建共享共管。</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第五十五条</w:t>
      </w:r>
      <w:r>
        <w:rPr>
          <w:rFonts w:hint="eastAsia" w:ascii="仿宋" w:hAnsi="仿宋" w:eastAsia="仿宋" w:cs="仿宋"/>
          <w:kern w:val="2"/>
          <w:sz w:val="32"/>
          <w:szCs w:val="32"/>
          <w:lang w:val="en-US" w:eastAsia="zh-CN" w:bidi="ar-SA"/>
        </w:rPr>
        <w:t>　实施公路改建、扩建和养护作业的，有关交通运输主管部门应当统筹安排区域路网作业计划，避免由于同一线路或者相邻线路集中施工，造成区域路段交通拥堵。</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第五十六条</w:t>
      </w:r>
      <w:r>
        <w:rPr>
          <w:rFonts w:hint="eastAsia" w:ascii="仿宋" w:hAnsi="仿宋" w:eastAsia="仿宋" w:cs="仿宋"/>
          <w:color w:val="0070C0"/>
          <w:kern w:val="2"/>
          <w:sz w:val="32"/>
          <w:szCs w:val="32"/>
          <w:lang w:val="en-US" w:eastAsia="zh-CN" w:bidi="ar-SA"/>
        </w:rPr>
        <w:t>　</w:t>
      </w:r>
      <w:r>
        <w:rPr>
          <w:rFonts w:hint="eastAsia" w:ascii="仿宋" w:hAnsi="仿宋" w:eastAsia="仿宋" w:cs="仿宋"/>
          <w:kern w:val="2"/>
          <w:sz w:val="32"/>
          <w:szCs w:val="32"/>
          <w:lang w:val="en-US" w:eastAsia="zh-CN" w:bidi="ar-SA"/>
        </w:rPr>
        <w:t>县级以上人民政府及其交通运输主管部门、公路养护管理机构、收费公路经营管理单位应当制定公路突发事件应急预案，加强应急装备物资储备，定期组织应急培训和演练。</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第五十七条</w:t>
      </w:r>
      <w:r>
        <w:rPr>
          <w:rFonts w:hint="eastAsia" w:ascii="仿宋" w:hAnsi="仿宋" w:eastAsia="仿宋" w:cs="仿宋"/>
          <w:kern w:val="2"/>
          <w:sz w:val="32"/>
          <w:szCs w:val="32"/>
          <w:lang w:val="en-US" w:eastAsia="zh-CN" w:bidi="ar-SA"/>
        </w:rPr>
        <w:t>　县级以上人民政府交通运输主管部门应当加强交通运输综合执法队伍建设，完善行政执法程序，严格行政执法责任，落实行政执法公示制度、行政执法全过程记录制度、重大执法决定法制审核制度，推动严格规范公正文明执法。</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交通运输执法应当坚持过罚相当，处罚与教育相结合，优化改进执法方式，教育公民、法人和其他组织自觉守法。</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第五十八条　</w:t>
      </w:r>
      <w:r>
        <w:rPr>
          <w:rFonts w:hint="eastAsia" w:ascii="仿宋" w:hAnsi="仿宋" w:eastAsia="仿宋" w:cs="仿宋"/>
          <w:kern w:val="2"/>
          <w:sz w:val="32"/>
          <w:szCs w:val="32"/>
          <w:lang w:val="en-US" w:eastAsia="zh-CN" w:bidi="ar-SA"/>
        </w:rPr>
        <w:t>县级以上人民政府交通运输、自然资源、水行政、住房城乡建设、工业和信息化、市场监督管理、公安机关交通管理等部门应当加强执法信息化建设，建立执法信息共享机制，提升联动执法效能。</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第五十九条</w:t>
      </w:r>
      <w:r>
        <w:rPr>
          <w:rFonts w:hint="eastAsia" w:ascii="仿宋" w:hAnsi="仿宋" w:eastAsia="仿宋" w:cs="仿宋"/>
          <w:kern w:val="2"/>
          <w:sz w:val="32"/>
          <w:szCs w:val="32"/>
          <w:lang w:val="en-US" w:eastAsia="zh-CN" w:bidi="ar-SA"/>
        </w:rPr>
        <w:t>　县级以上人民政府及其交通运输主管部门应当建立健全行政执法监督制度，通过执法评议、考核等方式加强对交通运输执法的监督检查，规范和保障交通运输执法工作。</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第六十条</w:t>
      </w:r>
      <w:r>
        <w:rPr>
          <w:rFonts w:hint="eastAsia" w:ascii="仿宋" w:hAnsi="仿宋" w:eastAsia="仿宋" w:cs="仿宋"/>
          <w:kern w:val="2"/>
          <w:sz w:val="32"/>
          <w:szCs w:val="32"/>
          <w:lang w:val="en-US" w:eastAsia="zh-CN" w:bidi="ar-SA"/>
        </w:rPr>
        <w:t>　县级以上人民政府交通运输主管部门应当建立投诉举报制度，公开投诉举报电话、通信地址或者电子邮箱等，接受对破坏损坏公路、非法占用公路或者执法人员未依法履行公路监管职责等行为的投诉举报。收到投诉举报后，应当在三十日内处理，并将处理结果向投诉举报人反馈。</w:t>
      </w: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jc w:val="both"/>
        <w:textAlignment w:val="auto"/>
        <w:outlineLvl w:val="9"/>
        <w:rPr>
          <w:rFonts w:hint="eastAsia" w:ascii="仿宋" w:hAnsi="仿宋" w:eastAsia="仿宋" w:cs="仿宋"/>
          <w:b/>
          <w:sz w:val="30"/>
          <w:szCs w:val="30"/>
          <w:lang w:eastAsia="zh-CN"/>
        </w:rPr>
      </w:pPr>
    </w:p>
    <w:p>
      <w:pPr>
        <w:numPr>
          <w:ilvl w:val="0"/>
          <w:numId w:val="3"/>
        </w:numPr>
        <w:ind w:left="0" w:leftChars="0" w:firstLine="0" w:firstLineChars="0"/>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法律责任</w:t>
      </w:r>
    </w:p>
    <w:p>
      <w:pPr>
        <w:pStyle w:val="11"/>
        <w:numPr>
          <w:ilvl w:val="0"/>
          <w:numId w:val="0"/>
        </w:numPr>
        <w:ind w:leftChars="0"/>
        <w:rPr>
          <w:rFonts w:hint="eastAsia"/>
          <w:lang w:eastAsia="zh-CN"/>
        </w:rPr>
      </w:pPr>
    </w:p>
    <w:p>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602"/>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第六十一条</w:t>
      </w:r>
      <w:r>
        <w:rPr>
          <w:rFonts w:hint="eastAsia" w:ascii="仿宋" w:hAnsi="仿宋" w:eastAsia="仿宋" w:cs="仿宋"/>
          <w:kern w:val="2"/>
          <w:sz w:val="32"/>
          <w:szCs w:val="32"/>
          <w:lang w:val="en-US" w:eastAsia="zh-CN" w:bidi="ar-SA"/>
        </w:rPr>
        <w:t>　各级人民政府、县级以上人民政府交通运输主管部门、有关部门、交通运输综合执法机构及其工作人员，有下列情形之一的，由有关机关对负有直接责任的主管人员和其他直接责任人员依法给予处分；构成犯罪的，依法追究刑事责任：</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（一）违法实施行政许可、行政处罚、行政强制或者收取费用的；</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default"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（二）</w:t>
      </w:r>
      <w:r>
        <w:rPr>
          <w:rFonts w:hint="default" w:ascii="仿宋" w:hAnsi="仿宋" w:eastAsia="仿宋" w:cs="仿宋"/>
          <w:kern w:val="2"/>
          <w:sz w:val="32"/>
          <w:szCs w:val="32"/>
          <w:lang w:val="en-US" w:eastAsia="zh-CN" w:bidi="ar-SA"/>
        </w:rPr>
        <w:t>不依法及时处理公路突发事件的；</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（三）违法设置限高、限宽设施的；</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（四）对未消除违法状态的超限超载运输车辆予以放行的；</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（五）发现违法行为或者接到对违法行为的投诉举报后不依法查处的；</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（六）其他玩忽职守、徇私舞弊、滥用职权的行为。</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lang w:val="en-US" w:eastAsia="zh-CN" w:bidi="ar-SA"/>
          <w14:textFill>
            <w14:solidFill>
              <w14:schemeClr w14:val="tx1"/>
            </w14:solidFill>
          </w14:textFill>
        </w:rPr>
        <w:t xml:space="preserve">第六十二条 </w:t>
      </w:r>
      <w:r>
        <w:rPr>
          <w:rFonts w:hint="eastAsia" w:ascii="黑体" w:hAnsi="黑体" w:eastAsia="黑体" w:cs="黑体"/>
          <w:color w:val="C00000"/>
          <w:kern w:val="2"/>
          <w:sz w:val="32"/>
          <w:szCs w:val="32"/>
          <w:lang w:val="en-US" w:eastAsia="zh-CN" w:bidi="ar-SA"/>
        </w:rPr>
        <w:t xml:space="preserve"> </w:t>
      </w:r>
      <w:r>
        <w:rPr>
          <w:rFonts w:hint="eastAsia" w:ascii="仿宋" w:hAnsi="仿宋" w:eastAsia="仿宋" w:cs="仿宋"/>
          <w:kern w:val="2"/>
          <w:sz w:val="32"/>
          <w:szCs w:val="32"/>
          <w:lang w:val="en-US" w:eastAsia="zh-CN" w:bidi="ar-SA"/>
        </w:rPr>
        <w:t>违反本条例规定，货运源头单位放行违法超限超载货运车辆驶出其经营场所的，由交通运输主管部门或者有关部门责令改正，处一万元以上三万元以下罚款。</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第六十三条</w:t>
      </w:r>
      <w:r>
        <w:rPr>
          <w:rFonts w:hint="eastAsia" w:ascii="仿宋" w:hAnsi="仿宋" w:eastAsia="仿宋" w:cs="仿宋"/>
          <w:kern w:val="2"/>
          <w:sz w:val="32"/>
          <w:szCs w:val="32"/>
          <w:lang w:val="en-US" w:eastAsia="zh-CN" w:bidi="ar-SA"/>
        </w:rPr>
        <w:t>　违反本条例规定，采取短途驳载等方式逃避超限检测的，依照《公路安全保护条例》第六十七条的规定予以处罚。</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第六十四条</w:t>
      </w:r>
      <w:r>
        <w:rPr>
          <w:rFonts w:hint="eastAsia" w:ascii="仿宋" w:hAnsi="仿宋" w:eastAsia="仿宋" w:cs="仿宋"/>
          <w:kern w:val="2"/>
          <w:sz w:val="32"/>
          <w:szCs w:val="32"/>
          <w:lang w:val="en-US" w:eastAsia="zh-CN" w:bidi="ar-SA"/>
        </w:rPr>
        <w:t>　违反本条例规定，高速公路经营管理单位未按照规定在高速公路入口设置称重检测设施的，由交通运输主管部门责令限期改正；逾期不改正的，处一万元以上五万元以下罚款；高速公路经营管理单位放行违法超限超载货运车辆驶入高速公路的，由交通运输主管部门处一万元以上三万元以下罚款。</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第六十五条</w:t>
      </w:r>
      <w:r>
        <w:rPr>
          <w:rFonts w:hint="eastAsia" w:ascii="仿宋" w:hAnsi="仿宋" w:eastAsia="仿宋" w:cs="仿宋"/>
          <w:kern w:val="2"/>
          <w:sz w:val="32"/>
          <w:szCs w:val="32"/>
          <w:lang w:val="en-US" w:eastAsia="zh-CN" w:bidi="ar-SA"/>
        </w:rPr>
        <w:t>　违反本条例规定，收费公路经营管理单位未对超限运输车辆通行证进行查验的，由交通运输主管部门处每辆次一千元罚款。</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第六十六条</w:t>
      </w:r>
      <w:r>
        <w:rPr>
          <w:rFonts w:hint="eastAsia" w:ascii="仿宋" w:hAnsi="仿宋" w:eastAsia="仿宋" w:cs="仿宋"/>
          <w:kern w:val="2"/>
          <w:sz w:val="32"/>
          <w:szCs w:val="32"/>
          <w:lang w:val="en-US" w:eastAsia="zh-CN" w:bidi="ar-SA"/>
        </w:rPr>
        <w:t>　违反本条例规定，收费公路经营管理单位未按照国务院交通运输主管部门规定的技术规范和操作规程进行收费公路养护的，由省人民政府交通运输主管部门责令改正；拒不改正的，责令停止收费。责令停止收费后三十日内仍未履行公路养护义务的，由省人民政府交通运输主管部门指定其他单位进行养护，养护费用由原收费公路经营管理单位承担。拒不承担的，由省人民政府交通运输主管部门申请人民法院强制执行。</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auto"/>
          <w:kern w:val="2"/>
          <w:sz w:val="32"/>
          <w:szCs w:val="32"/>
          <w:lang w:val="en-US" w:eastAsia="zh-CN" w:bidi="ar-SA"/>
        </w:rPr>
        <w:t>第六十七条</w:t>
      </w:r>
      <w:r>
        <w:rPr>
          <w:rFonts w:hint="eastAsia" w:ascii="黑体" w:hAnsi="黑体" w:eastAsia="黑体" w:cs="黑体"/>
          <w:kern w:val="2"/>
          <w:sz w:val="32"/>
          <w:szCs w:val="32"/>
          <w:lang w:val="en-US" w:eastAsia="zh-CN" w:bidi="ar-SA"/>
        </w:rPr>
        <w:t xml:space="preserve">  </w:t>
      </w:r>
      <w:r>
        <w:rPr>
          <w:rFonts w:hint="eastAsia" w:ascii="仿宋" w:hAnsi="仿宋" w:eastAsia="仿宋" w:cs="仿宋"/>
          <w:kern w:val="2"/>
          <w:sz w:val="32"/>
          <w:szCs w:val="32"/>
          <w:lang w:val="en-US" w:eastAsia="zh-CN" w:bidi="ar-SA"/>
        </w:rPr>
        <w:t>拒绝、阻碍执法人员依法执行职务的，依照《中华人民共和国治安管理处罚法》的规定给予处罚；构成犯罪的，依法追究刑事责任。</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第六十八条</w:t>
      </w:r>
      <w:r>
        <w:rPr>
          <w:rFonts w:hint="eastAsia" w:ascii="仿宋" w:hAnsi="仿宋" w:eastAsia="仿宋" w:cs="仿宋"/>
          <w:kern w:val="2"/>
          <w:sz w:val="32"/>
          <w:szCs w:val="32"/>
          <w:lang w:val="en-US" w:eastAsia="zh-CN" w:bidi="ar-SA"/>
        </w:rPr>
        <w:t>　违反本条例规定的其他行为，法律、行政法规对法律责任已有规定的，从其规定。</w:t>
      </w:r>
    </w:p>
    <w:p>
      <w:pPr>
        <w:pStyle w:val="8"/>
        <w:keepNext w:val="0"/>
        <w:keepLines w:val="0"/>
        <w:pageBreakBefore w:val="0"/>
        <w:widowControl/>
        <w:suppressLineNumbers w:val="0"/>
        <w:kinsoku/>
        <w:wordWrap/>
        <w:overflowPunct/>
        <w:topLinePunct w:val="0"/>
        <w:autoSpaceDE/>
        <w:autoSpaceDN/>
        <w:bidi w:val="0"/>
        <w:adjustRightInd/>
        <w:snapToGrid/>
        <w:spacing w:before="313" w:beforeLines="100" w:after="313" w:afterLines="100" w:line="360" w:lineRule="auto"/>
        <w:ind w:firstLine="601"/>
        <w:jc w:val="center"/>
        <w:textAlignment w:val="auto"/>
        <w:outlineLvl w:val="9"/>
        <w:rPr>
          <w:rFonts w:hint="eastAsia" w:ascii="黑体" w:hAnsi="黑体" w:eastAsia="黑体" w:cs="黑体"/>
          <w:b w:val="0"/>
          <w:bCs/>
          <w:sz w:val="30"/>
          <w:szCs w:val="30"/>
          <w:lang w:eastAsia="zh-CN"/>
        </w:rPr>
      </w:pPr>
      <w:r>
        <w:rPr>
          <w:rFonts w:hint="eastAsia" w:ascii="黑体" w:hAnsi="黑体" w:eastAsia="黑体" w:cs="黑体"/>
          <w:b w:val="0"/>
          <w:bCs/>
          <w:sz w:val="30"/>
          <w:szCs w:val="30"/>
          <w:lang w:eastAsia="zh-CN"/>
        </w:rPr>
        <w:t>第十章</w:t>
      </w:r>
      <w:r>
        <w:rPr>
          <w:rFonts w:hint="eastAsia" w:ascii="黑体" w:hAnsi="黑体" w:eastAsia="黑体" w:cs="黑体"/>
          <w:b w:val="0"/>
          <w:bCs/>
          <w:sz w:val="30"/>
          <w:szCs w:val="30"/>
        </w:rPr>
        <w:t>　</w:t>
      </w:r>
      <w:r>
        <w:rPr>
          <w:rFonts w:hint="eastAsia" w:ascii="黑体" w:hAnsi="黑体" w:eastAsia="黑体" w:cs="黑体"/>
          <w:b w:val="0"/>
          <w:bCs/>
          <w:sz w:val="30"/>
          <w:szCs w:val="30"/>
          <w:lang w:eastAsia="zh-CN"/>
        </w:rPr>
        <w:t>附</w:t>
      </w:r>
      <w:r>
        <w:rPr>
          <w:rFonts w:hint="eastAsia" w:ascii="黑体" w:hAnsi="黑体" w:eastAsia="黑体" w:cs="黑体"/>
          <w:b w:val="0"/>
          <w:bCs/>
          <w:sz w:val="30"/>
          <w:szCs w:val="30"/>
        </w:rPr>
        <w:t>　　</w:t>
      </w:r>
      <w:r>
        <w:rPr>
          <w:rFonts w:hint="eastAsia" w:ascii="黑体" w:hAnsi="黑体" w:eastAsia="黑体" w:cs="黑体"/>
          <w:b w:val="0"/>
          <w:bCs/>
          <w:sz w:val="30"/>
          <w:szCs w:val="30"/>
          <w:lang w:eastAsia="zh-CN"/>
        </w:rPr>
        <w:t>则</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color w:val="000000" w:themeColor="text1"/>
          <w:kern w:val="2"/>
          <w:sz w:val="32"/>
          <w:szCs w:val="32"/>
          <w:highlight w:val="none"/>
          <w:lang w:val="en-US" w:eastAsia="zh-CN" w:bidi="ar-SA"/>
          <w14:textFill>
            <w14:solidFill>
              <w14:schemeClr w14:val="tx1"/>
            </w14:solidFill>
          </w14:textFill>
        </w:rPr>
        <w:t>第六十九条</w:t>
      </w:r>
      <w:r>
        <w:rPr>
          <w:rFonts w:hint="eastAsia" w:ascii="仿宋" w:hAnsi="仿宋" w:eastAsia="仿宋" w:cs="仿宋"/>
          <w:kern w:val="2"/>
          <w:sz w:val="32"/>
          <w:szCs w:val="32"/>
          <w:lang w:val="en-US" w:eastAsia="zh-CN" w:bidi="ar-SA"/>
        </w:rPr>
        <w:t>　本条例中下列用语的含义：</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（一）公路发展规划，是指本行政区域内公路领域阶段性发展目标和任务，一般期限为五年，包括公路建设、养护和改造提升的任务安排，公路运行保障的标准和要求，规划实施的保障措施等内容。</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（二）公路附属设施，是指为保护、养护公路和保障公路安全畅通所设置的公路防护、排水、养护、管理、服务、交通安全、监控、通信、收费等设施、设备以及专用建筑物、构筑物等。</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jc w:val="both"/>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（三）重要农村公路建设项目，是指一级公路、独立或者含有大型及以上桥梁和中型及以上隧道的建设项目。重要农村公路建设项目以外的其他项目为一般农村公路建设项目。</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（四）收费公路经营管理单位，是指建设、养护和运营政府收费公路、经营性收费公路的法人组织。</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仿宋" w:hAnsi="仿宋" w:eastAsia="仿宋" w:cs="仿宋"/>
          <w:kern w:val="2"/>
          <w:sz w:val="32"/>
          <w:szCs w:val="32"/>
          <w:lang w:val="en-US" w:eastAsia="zh-CN" w:bidi="ar-SA"/>
        </w:rPr>
        <w:t>（五）公路养护管理机构，是指县级以上人民政府交通运输主管部门所属的负责公路服务保障的机构，主要包括各级负责公路养护工作的公路事业中心等公益类事业单位。</w:t>
      </w:r>
    </w:p>
    <w:p>
      <w:pPr>
        <w:pStyle w:val="8"/>
        <w:keepNext w:val="0"/>
        <w:keepLines w:val="0"/>
        <w:pageBreakBefore w:val="0"/>
        <w:widowControl/>
        <w:suppressLineNumbers w:val="0"/>
        <w:kinsoku/>
        <w:wordWrap/>
        <w:overflowPunct/>
        <w:topLinePunct w:val="0"/>
        <w:autoSpaceDE/>
        <w:autoSpaceDN/>
        <w:bidi w:val="0"/>
        <w:adjustRightInd/>
        <w:snapToGrid/>
        <w:spacing w:line="560" w:lineRule="exact"/>
        <w:ind w:firstLine="640" w:firstLineChars="200"/>
        <w:textAlignment w:val="auto"/>
        <w:outlineLvl w:val="9"/>
        <w:rPr>
          <w:rFonts w:hint="eastAsia" w:ascii="仿宋" w:hAnsi="仿宋" w:eastAsia="仿宋" w:cs="仿宋"/>
          <w:kern w:val="2"/>
          <w:sz w:val="32"/>
          <w:szCs w:val="32"/>
          <w:lang w:val="en-US" w:eastAsia="zh-CN" w:bidi="ar-SA"/>
        </w:rPr>
      </w:pPr>
      <w:r>
        <w:rPr>
          <w:rFonts w:hint="eastAsia" w:ascii="黑体" w:hAnsi="黑体" w:eastAsia="黑体" w:cs="黑体"/>
          <w:kern w:val="2"/>
          <w:sz w:val="32"/>
          <w:szCs w:val="32"/>
          <w:highlight w:val="none"/>
          <w:lang w:val="en-US" w:eastAsia="zh-CN" w:bidi="ar-SA"/>
        </w:rPr>
        <w:t>第七十条</w:t>
      </w:r>
      <w:r>
        <w:rPr>
          <w:rFonts w:hint="eastAsia" w:ascii="仿宋" w:hAnsi="仿宋" w:eastAsia="仿宋" w:cs="仿宋"/>
          <w:kern w:val="2"/>
          <w:sz w:val="32"/>
          <w:szCs w:val="32"/>
          <w:lang w:val="en-US" w:eastAsia="zh-CN" w:bidi="ar-SA"/>
        </w:rPr>
        <w:t>　本条例自2022年1月1日起施行。</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仿宋_GBK">
    <w:panose1 w:val="02000000000000000000"/>
    <w:charset w:val="86"/>
    <w:family w:val="auto"/>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altName w:val="方正楷体_GBK"/>
    <w:panose1 w:val="02010609060101010101"/>
    <w:charset w:val="86"/>
    <w:family w:val="auto"/>
    <w:pitch w:val="default"/>
    <w:sig w:usb0="00000000" w:usb1="00000000" w:usb2="00000016" w:usb3="00000000" w:csb0="00040001" w:csb1="00000000"/>
  </w:font>
  <w:font w:name="仿宋">
    <w:altName w:val="宋体"/>
    <w:panose1 w:val="02010609060101010101"/>
    <w:charset w:val="86"/>
    <w:family w:val="auto"/>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Times">
    <w:altName w:val="DejaVu Sans"/>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15B01"/>
    <w:multiLevelType w:val="singleLevel"/>
    <w:tmpl w:val="8CB15B01"/>
    <w:lvl w:ilvl="0" w:tentative="0">
      <w:start w:val="5"/>
      <w:numFmt w:val="chineseCounting"/>
      <w:suff w:val="nothing"/>
      <w:lvlText w:val="第%1章　"/>
      <w:lvlJc w:val="left"/>
      <w:rPr>
        <w:rFonts w:hint="eastAsia"/>
      </w:rPr>
    </w:lvl>
  </w:abstractNum>
  <w:abstractNum w:abstractNumId="1">
    <w:nsid w:val="8EF5AE47"/>
    <w:multiLevelType w:val="singleLevel"/>
    <w:tmpl w:val="8EF5AE47"/>
    <w:lvl w:ilvl="0" w:tentative="0">
      <w:start w:val="1"/>
      <w:numFmt w:val="chineseCounting"/>
      <w:suff w:val="nothing"/>
      <w:lvlText w:val="第%1章　"/>
      <w:lvlJc w:val="left"/>
      <w:rPr>
        <w:rFonts w:hint="eastAsia"/>
      </w:rPr>
    </w:lvl>
  </w:abstractNum>
  <w:abstractNum w:abstractNumId="2">
    <w:nsid w:val="46CC39CB"/>
    <w:multiLevelType w:val="multilevel"/>
    <w:tmpl w:val="46CC39CB"/>
    <w:lvl w:ilvl="0" w:tentative="0">
      <w:start w:val="1"/>
      <w:numFmt w:val="japaneseCounting"/>
      <w:lvlText w:val="第%1章"/>
      <w:lvlJc w:val="left"/>
      <w:pPr>
        <w:ind w:left="1080" w:hanging="108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7556D"/>
    <w:rsid w:val="00522477"/>
    <w:rsid w:val="009454F5"/>
    <w:rsid w:val="00AD396B"/>
    <w:rsid w:val="00D66D92"/>
    <w:rsid w:val="00F3478B"/>
    <w:rsid w:val="00F6264E"/>
    <w:rsid w:val="00FA09D8"/>
    <w:rsid w:val="015D4808"/>
    <w:rsid w:val="0177647A"/>
    <w:rsid w:val="01A71D32"/>
    <w:rsid w:val="01CD6CCA"/>
    <w:rsid w:val="01D9692A"/>
    <w:rsid w:val="01DC4D30"/>
    <w:rsid w:val="01E00960"/>
    <w:rsid w:val="02033207"/>
    <w:rsid w:val="02300DD7"/>
    <w:rsid w:val="024B45F5"/>
    <w:rsid w:val="02601655"/>
    <w:rsid w:val="02666D52"/>
    <w:rsid w:val="026E2CBE"/>
    <w:rsid w:val="02742DF8"/>
    <w:rsid w:val="02BE6C51"/>
    <w:rsid w:val="02C06519"/>
    <w:rsid w:val="02E62CFF"/>
    <w:rsid w:val="030628F2"/>
    <w:rsid w:val="031F3979"/>
    <w:rsid w:val="03366EF2"/>
    <w:rsid w:val="03493AFB"/>
    <w:rsid w:val="036B72E4"/>
    <w:rsid w:val="038A3279"/>
    <w:rsid w:val="03992054"/>
    <w:rsid w:val="03DF0145"/>
    <w:rsid w:val="03F644A2"/>
    <w:rsid w:val="041B39DE"/>
    <w:rsid w:val="043765B3"/>
    <w:rsid w:val="045A7B4B"/>
    <w:rsid w:val="04985AF1"/>
    <w:rsid w:val="04BE28B7"/>
    <w:rsid w:val="051404C5"/>
    <w:rsid w:val="055A0242"/>
    <w:rsid w:val="055B7544"/>
    <w:rsid w:val="05661F80"/>
    <w:rsid w:val="05727504"/>
    <w:rsid w:val="057473B7"/>
    <w:rsid w:val="05754979"/>
    <w:rsid w:val="059D5BF1"/>
    <w:rsid w:val="05A54F10"/>
    <w:rsid w:val="05C9475F"/>
    <w:rsid w:val="05D02BD9"/>
    <w:rsid w:val="05D75C5F"/>
    <w:rsid w:val="06411A0A"/>
    <w:rsid w:val="06445EBB"/>
    <w:rsid w:val="066C36D3"/>
    <w:rsid w:val="06D95F4B"/>
    <w:rsid w:val="07222317"/>
    <w:rsid w:val="074A332E"/>
    <w:rsid w:val="07CD0C05"/>
    <w:rsid w:val="08163A87"/>
    <w:rsid w:val="082E2212"/>
    <w:rsid w:val="08D7030F"/>
    <w:rsid w:val="08F06620"/>
    <w:rsid w:val="09533059"/>
    <w:rsid w:val="0967206F"/>
    <w:rsid w:val="097446E2"/>
    <w:rsid w:val="09872350"/>
    <w:rsid w:val="098B707F"/>
    <w:rsid w:val="09AA5C43"/>
    <w:rsid w:val="09B33916"/>
    <w:rsid w:val="09BC7E61"/>
    <w:rsid w:val="0A0278EF"/>
    <w:rsid w:val="0A141C48"/>
    <w:rsid w:val="0A194453"/>
    <w:rsid w:val="0A2633E6"/>
    <w:rsid w:val="0A2C7511"/>
    <w:rsid w:val="0A971BF2"/>
    <w:rsid w:val="0AB7785A"/>
    <w:rsid w:val="0AC264A4"/>
    <w:rsid w:val="0AD13B9D"/>
    <w:rsid w:val="0AD7621D"/>
    <w:rsid w:val="0AE41970"/>
    <w:rsid w:val="0AEA07C9"/>
    <w:rsid w:val="0AF23688"/>
    <w:rsid w:val="0AFF2AF2"/>
    <w:rsid w:val="0B1337BA"/>
    <w:rsid w:val="0B566C61"/>
    <w:rsid w:val="0B5E2C21"/>
    <w:rsid w:val="0B75067F"/>
    <w:rsid w:val="0BA2442E"/>
    <w:rsid w:val="0C1064DB"/>
    <w:rsid w:val="0C116290"/>
    <w:rsid w:val="0C3F1D9C"/>
    <w:rsid w:val="0C744857"/>
    <w:rsid w:val="0CAB2A13"/>
    <w:rsid w:val="0CBF0769"/>
    <w:rsid w:val="0CE26264"/>
    <w:rsid w:val="0D02499A"/>
    <w:rsid w:val="0D120F58"/>
    <w:rsid w:val="0D1E1815"/>
    <w:rsid w:val="0D2A02DE"/>
    <w:rsid w:val="0D5A387E"/>
    <w:rsid w:val="0D645F5E"/>
    <w:rsid w:val="0D7A5143"/>
    <w:rsid w:val="0DBB08DF"/>
    <w:rsid w:val="0DC849BD"/>
    <w:rsid w:val="0DE165B5"/>
    <w:rsid w:val="0E890F09"/>
    <w:rsid w:val="0E8A423B"/>
    <w:rsid w:val="0E9321F1"/>
    <w:rsid w:val="0EA00718"/>
    <w:rsid w:val="0EA83C41"/>
    <w:rsid w:val="0ECC49DB"/>
    <w:rsid w:val="0ED857F5"/>
    <w:rsid w:val="0EE91804"/>
    <w:rsid w:val="0F1236E8"/>
    <w:rsid w:val="0F286092"/>
    <w:rsid w:val="0F647A62"/>
    <w:rsid w:val="0F824D5B"/>
    <w:rsid w:val="0FFB6001"/>
    <w:rsid w:val="10B81507"/>
    <w:rsid w:val="10F12489"/>
    <w:rsid w:val="11261154"/>
    <w:rsid w:val="114950AF"/>
    <w:rsid w:val="11761ADB"/>
    <w:rsid w:val="118A6B4A"/>
    <w:rsid w:val="11902EA8"/>
    <w:rsid w:val="11ED3827"/>
    <w:rsid w:val="120655DF"/>
    <w:rsid w:val="120B3EB7"/>
    <w:rsid w:val="12477949"/>
    <w:rsid w:val="12777005"/>
    <w:rsid w:val="127C5987"/>
    <w:rsid w:val="12867771"/>
    <w:rsid w:val="12C13191"/>
    <w:rsid w:val="12EA380B"/>
    <w:rsid w:val="12F51B9E"/>
    <w:rsid w:val="1308734B"/>
    <w:rsid w:val="130F0AB0"/>
    <w:rsid w:val="135F375E"/>
    <w:rsid w:val="136F5556"/>
    <w:rsid w:val="13812BE4"/>
    <w:rsid w:val="1394759C"/>
    <w:rsid w:val="13994E7C"/>
    <w:rsid w:val="13D33153"/>
    <w:rsid w:val="13FD1D3B"/>
    <w:rsid w:val="140C490D"/>
    <w:rsid w:val="14421DC6"/>
    <w:rsid w:val="14444CDB"/>
    <w:rsid w:val="14A2735D"/>
    <w:rsid w:val="14A96095"/>
    <w:rsid w:val="14AD40C9"/>
    <w:rsid w:val="14BA6481"/>
    <w:rsid w:val="14C129A4"/>
    <w:rsid w:val="14D103D2"/>
    <w:rsid w:val="14D71B46"/>
    <w:rsid w:val="14F04DA0"/>
    <w:rsid w:val="15283EDB"/>
    <w:rsid w:val="15390401"/>
    <w:rsid w:val="157F6EF9"/>
    <w:rsid w:val="15921865"/>
    <w:rsid w:val="15B47E34"/>
    <w:rsid w:val="15DA6F46"/>
    <w:rsid w:val="15FC6A11"/>
    <w:rsid w:val="16177741"/>
    <w:rsid w:val="167440AB"/>
    <w:rsid w:val="168550D8"/>
    <w:rsid w:val="168877AB"/>
    <w:rsid w:val="169A7320"/>
    <w:rsid w:val="174005A6"/>
    <w:rsid w:val="175F53EC"/>
    <w:rsid w:val="176B60F9"/>
    <w:rsid w:val="176F1D93"/>
    <w:rsid w:val="17B71E32"/>
    <w:rsid w:val="17B95647"/>
    <w:rsid w:val="17BD726D"/>
    <w:rsid w:val="17E53959"/>
    <w:rsid w:val="1806287D"/>
    <w:rsid w:val="1819742C"/>
    <w:rsid w:val="1822650B"/>
    <w:rsid w:val="18633F16"/>
    <w:rsid w:val="1885015F"/>
    <w:rsid w:val="18C341AB"/>
    <w:rsid w:val="190624CE"/>
    <w:rsid w:val="191E15DF"/>
    <w:rsid w:val="19681D98"/>
    <w:rsid w:val="196F2E22"/>
    <w:rsid w:val="19960D6D"/>
    <w:rsid w:val="19D542EC"/>
    <w:rsid w:val="19F809C0"/>
    <w:rsid w:val="19F80CFE"/>
    <w:rsid w:val="19FF62DD"/>
    <w:rsid w:val="1A102BF5"/>
    <w:rsid w:val="1A365D2F"/>
    <w:rsid w:val="1A45514C"/>
    <w:rsid w:val="1A8D39F1"/>
    <w:rsid w:val="1AB17999"/>
    <w:rsid w:val="1AD43849"/>
    <w:rsid w:val="1AE53D2C"/>
    <w:rsid w:val="1AEA66BD"/>
    <w:rsid w:val="1AF3282F"/>
    <w:rsid w:val="1B0F6D27"/>
    <w:rsid w:val="1B452716"/>
    <w:rsid w:val="1B4B7AAD"/>
    <w:rsid w:val="1B640169"/>
    <w:rsid w:val="1BA2122B"/>
    <w:rsid w:val="1BAB2C1C"/>
    <w:rsid w:val="1BE95513"/>
    <w:rsid w:val="1BF1245B"/>
    <w:rsid w:val="1C190BDB"/>
    <w:rsid w:val="1C1B3A1A"/>
    <w:rsid w:val="1C990C6D"/>
    <w:rsid w:val="1CAA20B9"/>
    <w:rsid w:val="1D501075"/>
    <w:rsid w:val="1D95555F"/>
    <w:rsid w:val="1D9959A0"/>
    <w:rsid w:val="1DA66ECC"/>
    <w:rsid w:val="1DD577BD"/>
    <w:rsid w:val="1E114406"/>
    <w:rsid w:val="1E4D390B"/>
    <w:rsid w:val="1E4D6987"/>
    <w:rsid w:val="1E551A73"/>
    <w:rsid w:val="1E602633"/>
    <w:rsid w:val="1E855A7E"/>
    <w:rsid w:val="1E8E7AD5"/>
    <w:rsid w:val="1EDA69B0"/>
    <w:rsid w:val="1EE734F0"/>
    <w:rsid w:val="1EE83A54"/>
    <w:rsid w:val="1EFA489E"/>
    <w:rsid w:val="1F275DC9"/>
    <w:rsid w:val="1F36272D"/>
    <w:rsid w:val="1F594973"/>
    <w:rsid w:val="1F6646E9"/>
    <w:rsid w:val="1F8052E3"/>
    <w:rsid w:val="1FBA1D70"/>
    <w:rsid w:val="1FCD3ABE"/>
    <w:rsid w:val="1FEB1A0A"/>
    <w:rsid w:val="1FF93257"/>
    <w:rsid w:val="1FFC217B"/>
    <w:rsid w:val="20184D73"/>
    <w:rsid w:val="20207076"/>
    <w:rsid w:val="203B60BB"/>
    <w:rsid w:val="20725EA4"/>
    <w:rsid w:val="207F4647"/>
    <w:rsid w:val="20A25FCF"/>
    <w:rsid w:val="20E33C1C"/>
    <w:rsid w:val="20FF22C5"/>
    <w:rsid w:val="21126FF9"/>
    <w:rsid w:val="211778E9"/>
    <w:rsid w:val="21184B1E"/>
    <w:rsid w:val="212D781F"/>
    <w:rsid w:val="213C7F60"/>
    <w:rsid w:val="216A1868"/>
    <w:rsid w:val="219E78BC"/>
    <w:rsid w:val="21AE2EA0"/>
    <w:rsid w:val="21E8280B"/>
    <w:rsid w:val="21EC10A7"/>
    <w:rsid w:val="222E69BF"/>
    <w:rsid w:val="22497CD1"/>
    <w:rsid w:val="224E7916"/>
    <w:rsid w:val="226566CA"/>
    <w:rsid w:val="22770A2E"/>
    <w:rsid w:val="22DF4012"/>
    <w:rsid w:val="22FC486B"/>
    <w:rsid w:val="23086842"/>
    <w:rsid w:val="2321273B"/>
    <w:rsid w:val="2334433F"/>
    <w:rsid w:val="233F74BB"/>
    <w:rsid w:val="23721212"/>
    <w:rsid w:val="237E39A8"/>
    <w:rsid w:val="239A2DE5"/>
    <w:rsid w:val="239D1727"/>
    <w:rsid w:val="247825F6"/>
    <w:rsid w:val="24874493"/>
    <w:rsid w:val="24A743CC"/>
    <w:rsid w:val="24CF14AD"/>
    <w:rsid w:val="24EE512C"/>
    <w:rsid w:val="24F140DC"/>
    <w:rsid w:val="255305BE"/>
    <w:rsid w:val="256D6C93"/>
    <w:rsid w:val="25732456"/>
    <w:rsid w:val="258A01D4"/>
    <w:rsid w:val="25A2004A"/>
    <w:rsid w:val="25AC11F3"/>
    <w:rsid w:val="25BD538B"/>
    <w:rsid w:val="25C41FE1"/>
    <w:rsid w:val="25E2238D"/>
    <w:rsid w:val="26586B9A"/>
    <w:rsid w:val="268B4442"/>
    <w:rsid w:val="26B40D5D"/>
    <w:rsid w:val="27140FF4"/>
    <w:rsid w:val="272422BD"/>
    <w:rsid w:val="273D2154"/>
    <w:rsid w:val="276304A2"/>
    <w:rsid w:val="27694AF3"/>
    <w:rsid w:val="27695B88"/>
    <w:rsid w:val="276E4A75"/>
    <w:rsid w:val="27746549"/>
    <w:rsid w:val="27771956"/>
    <w:rsid w:val="27A5209F"/>
    <w:rsid w:val="27A737F8"/>
    <w:rsid w:val="27AA04BF"/>
    <w:rsid w:val="27AB7827"/>
    <w:rsid w:val="27B678CA"/>
    <w:rsid w:val="27C461E8"/>
    <w:rsid w:val="282572FB"/>
    <w:rsid w:val="28552C91"/>
    <w:rsid w:val="2871289B"/>
    <w:rsid w:val="28735AE8"/>
    <w:rsid w:val="289F0B2A"/>
    <w:rsid w:val="28A63F18"/>
    <w:rsid w:val="28C5241D"/>
    <w:rsid w:val="28D2030F"/>
    <w:rsid w:val="28D3585D"/>
    <w:rsid w:val="293835B4"/>
    <w:rsid w:val="294340EB"/>
    <w:rsid w:val="297A6DB1"/>
    <w:rsid w:val="297A6F10"/>
    <w:rsid w:val="2A47015A"/>
    <w:rsid w:val="2A7C759F"/>
    <w:rsid w:val="2A953A34"/>
    <w:rsid w:val="2AA535DE"/>
    <w:rsid w:val="2AC731D5"/>
    <w:rsid w:val="2AED4029"/>
    <w:rsid w:val="2B1E44C9"/>
    <w:rsid w:val="2B54325E"/>
    <w:rsid w:val="2B5B0051"/>
    <w:rsid w:val="2BA2190C"/>
    <w:rsid w:val="2BC40B5C"/>
    <w:rsid w:val="2BD62129"/>
    <w:rsid w:val="2C0E1B7F"/>
    <w:rsid w:val="2C1727AA"/>
    <w:rsid w:val="2C2D3703"/>
    <w:rsid w:val="2C55798B"/>
    <w:rsid w:val="2C8C14DB"/>
    <w:rsid w:val="2CBD0459"/>
    <w:rsid w:val="2D004525"/>
    <w:rsid w:val="2D336CF9"/>
    <w:rsid w:val="2D411E52"/>
    <w:rsid w:val="2D495246"/>
    <w:rsid w:val="2D645B7C"/>
    <w:rsid w:val="2DA1389D"/>
    <w:rsid w:val="2DA41573"/>
    <w:rsid w:val="2DBD42BD"/>
    <w:rsid w:val="2DFA44FA"/>
    <w:rsid w:val="2DFD1444"/>
    <w:rsid w:val="2E0043F3"/>
    <w:rsid w:val="2E2C2F81"/>
    <w:rsid w:val="2E2D21FF"/>
    <w:rsid w:val="2E2E59B7"/>
    <w:rsid w:val="2E3E1753"/>
    <w:rsid w:val="2E73268F"/>
    <w:rsid w:val="2E832760"/>
    <w:rsid w:val="2EA70BC9"/>
    <w:rsid w:val="2EA70F76"/>
    <w:rsid w:val="2EB969CB"/>
    <w:rsid w:val="2ED7683F"/>
    <w:rsid w:val="2F3040A5"/>
    <w:rsid w:val="2F587922"/>
    <w:rsid w:val="2F614347"/>
    <w:rsid w:val="2F6C0457"/>
    <w:rsid w:val="2F892141"/>
    <w:rsid w:val="2F9F1F9C"/>
    <w:rsid w:val="2FA35097"/>
    <w:rsid w:val="2FBD412E"/>
    <w:rsid w:val="2FC22488"/>
    <w:rsid w:val="3009332E"/>
    <w:rsid w:val="30156973"/>
    <w:rsid w:val="302F0662"/>
    <w:rsid w:val="304072DD"/>
    <w:rsid w:val="307B6320"/>
    <w:rsid w:val="309029A8"/>
    <w:rsid w:val="31895ECF"/>
    <w:rsid w:val="31A2297F"/>
    <w:rsid w:val="31A836A8"/>
    <w:rsid w:val="31D4673D"/>
    <w:rsid w:val="31E7684F"/>
    <w:rsid w:val="31F1349D"/>
    <w:rsid w:val="322A2514"/>
    <w:rsid w:val="32550590"/>
    <w:rsid w:val="3273798C"/>
    <w:rsid w:val="32AD55A1"/>
    <w:rsid w:val="32BD1B53"/>
    <w:rsid w:val="33037850"/>
    <w:rsid w:val="33496496"/>
    <w:rsid w:val="33585F0E"/>
    <w:rsid w:val="33650D56"/>
    <w:rsid w:val="338018FE"/>
    <w:rsid w:val="338E77E2"/>
    <w:rsid w:val="34356CC1"/>
    <w:rsid w:val="34512F3F"/>
    <w:rsid w:val="345279EA"/>
    <w:rsid w:val="34687B39"/>
    <w:rsid w:val="34757346"/>
    <w:rsid w:val="348C56FF"/>
    <w:rsid w:val="34CB4037"/>
    <w:rsid w:val="34D44F7D"/>
    <w:rsid w:val="34E74F16"/>
    <w:rsid w:val="34F009C8"/>
    <w:rsid w:val="34F35FC5"/>
    <w:rsid w:val="35132463"/>
    <w:rsid w:val="351A7F57"/>
    <w:rsid w:val="351D610D"/>
    <w:rsid w:val="35311385"/>
    <w:rsid w:val="35534C66"/>
    <w:rsid w:val="355407D9"/>
    <w:rsid w:val="357361BB"/>
    <w:rsid w:val="35947DAA"/>
    <w:rsid w:val="35A47301"/>
    <w:rsid w:val="35C2522A"/>
    <w:rsid w:val="3629580E"/>
    <w:rsid w:val="36295A0E"/>
    <w:rsid w:val="363D2B3C"/>
    <w:rsid w:val="36466B1A"/>
    <w:rsid w:val="36611BE4"/>
    <w:rsid w:val="366F5083"/>
    <w:rsid w:val="368167C2"/>
    <w:rsid w:val="36B94A88"/>
    <w:rsid w:val="36BD71C3"/>
    <w:rsid w:val="36CE63AF"/>
    <w:rsid w:val="36F2788B"/>
    <w:rsid w:val="36FF72EF"/>
    <w:rsid w:val="37072374"/>
    <w:rsid w:val="372B18B2"/>
    <w:rsid w:val="375D4EB3"/>
    <w:rsid w:val="377A4D1A"/>
    <w:rsid w:val="37941E2D"/>
    <w:rsid w:val="37B9305D"/>
    <w:rsid w:val="37D43FF9"/>
    <w:rsid w:val="38425C5E"/>
    <w:rsid w:val="38A26335"/>
    <w:rsid w:val="38A441ED"/>
    <w:rsid w:val="38A57024"/>
    <w:rsid w:val="38DA3612"/>
    <w:rsid w:val="38EA5E35"/>
    <w:rsid w:val="39354D71"/>
    <w:rsid w:val="393B0925"/>
    <w:rsid w:val="39555406"/>
    <w:rsid w:val="3985040B"/>
    <w:rsid w:val="39956A18"/>
    <w:rsid w:val="39EB710E"/>
    <w:rsid w:val="39EC6A35"/>
    <w:rsid w:val="39ED5333"/>
    <w:rsid w:val="3A2F1532"/>
    <w:rsid w:val="3A482841"/>
    <w:rsid w:val="3A6F481A"/>
    <w:rsid w:val="3A995BF9"/>
    <w:rsid w:val="3A9B252A"/>
    <w:rsid w:val="3AA41999"/>
    <w:rsid w:val="3AD26EC6"/>
    <w:rsid w:val="3AD40310"/>
    <w:rsid w:val="3AE11319"/>
    <w:rsid w:val="3AE50E7E"/>
    <w:rsid w:val="3AF768A8"/>
    <w:rsid w:val="3B0008AB"/>
    <w:rsid w:val="3B0F1102"/>
    <w:rsid w:val="3B626FC4"/>
    <w:rsid w:val="3B72400F"/>
    <w:rsid w:val="3B9E7B07"/>
    <w:rsid w:val="3BB40B74"/>
    <w:rsid w:val="3BC22838"/>
    <w:rsid w:val="3BC932D3"/>
    <w:rsid w:val="3BE457E3"/>
    <w:rsid w:val="3BE579D5"/>
    <w:rsid w:val="3C1C6B44"/>
    <w:rsid w:val="3C1D7405"/>
    <w:rsid w:val="3C2030D0"/>
    <w:rsid w:val="3C6F7540"/>
    <w:rsid w:val="3C735555"/>
    <w:rsid w:val="3C7E6625"/>
    <w:rsid w:val="3CB12431"/>
    <w:rsid w:val="3CC74CF9"/>
    <w:rsid w:val="3CD5583A"/>
    <w:rsid w:val="3CE90E35"/>
    <w:rsid w:val="3D325FCB"/>
    <w:rsid w:val="3D9E05C6"/>
    <w:rsid w:val="3D9F1224"/>
    <w:rsid w:val="3DA2375B"/>
    <w:rsid w:val="3DC56291"/>
    <w:rsid w:val="3DE26CEF"/>
    <w:rsid w:val="3E322330"/>
    <w:rsid w:val="3E333FCF"/>
    <w:rsid w:val="3E8208DB"/>
    <w:rsid w:val="3EA24F93"/>
    <w:rsid w:val="3EB65ABD"/>
    <w:rsid w:val="3ED4728B"/>
    <w:rsid w:val="3EDD0822"/>
    <w:rsid w:val="3EE22079"/>
    <w:rsid w:val="3F1F49D4"/>
    <w:rsid w:val="3F2E47BF"/>
    <w:rsid w:val="3F5C4312"/>
    <w:rsid w:val="3F6C6F90"/>
    <w:rsid w:val="3FC56909"/>
    <w:rsid w:val="3FF92651"/>
    <w:rsid w:val="40087323"/>
    <w:rsid w:val="401354D1"/>
    <w:rsid w:val="40341021"/>
    <w:rsid w:val="40343C7A"/>
    <w:rsid w:val="409F1018"/>
    <w:rsid w:val="40C2001F"/>
    <w:rsid w:val="40C8637C"/>
    <w:rsid w:val="40CE35E2"/>
    <w:rsid w:val="40D1314E"/>
    <w:rsid w:val="40D65E79"/>
    <w:rsid w:val="41110A73"/>
    <w:rsid w:val="411C642D"/>
    <w:rsid w:val="41421A5E"/>
    <w:rsid w:val="41536F34"/>
    <w:rsid w:val="416220F1"/>
    <w:rsid w:val="416F5E1D"/>
    <w:rsid w:val="41AF3AF4"/>
    <w:rsid w:val="41B0615F"/>
    <w:rsid w:val="41C77461"/>
    <w:rsid w:val="41D11A40"/>
    <w:rsid w:val="41E364F9"/>
    <w:rsid w:val="41E96EB6"/>
    <w:rsid w:val="41F36599"/>
    <w:rsid w:val="41FD5BAC"/>
    <w:rsid w:val="42040B9A"/>
    <w:rsid w:val="42150426"/>
    <w:rsid w:val="421D3B25"/>
    <w:rsid w:val="423E1076"/>
    <w:rsid w:val="42EC304E"/>
    <w:rsid w:val="42EE757A"/>
    <w:rsid w:val="4307488A"/>
    <w:rsid w:val="43314594"/>
    <w:rsid w:val="4369480B"/>
    <w:rsid w:val="437C4692"/>
    <w:rsid w:val="43A1108D"/>
    <w:rsid w:val="43C71A60"/>
    <w:rsid w:val="43DC1A0D"/>
    <w:rsid w:val="442F75ED"/>
    <w:rsid w:val="44576090"/>
    <w:rsid w:val="44F30380"/>
    <w:rsid w:val="45236650"/>
    <w:rsid w:val="452639E2"/>
    <w:rsid w:val="453D5A9A"/>
    <w:rsid w:val="456C75AF"/>
    <w:rsid w:val="45A70B29"/>
    <w:rsid w:val="45C113A7"/>
    <w:rsid w:val="45CE4680"/>
    <w:rsid w:val="462B15A6"/>
    <w:rsid w:val="46325406"/>
    <w:rsid w:val="46570DD7"/>
    <w:rsid w:val="46726FB2"/>
    <w:rsid w:val="468D36AA"/>
    <w:rsid w:val="468E0F2D"/>
    <w:rsid w:val="46C161D4"/>
    <w:rsid w:val="46E63CF9"/>
    <w:rsid w:val="46E74E30"/>
    <w:rsid w:val="46EC1F0B"/>
    <w:rsid w:val="46F665EF"/>
    <w:rsid w:val="4758534E"/>
    <w:rsid w:val="47856BB1"/>
    <w:rsid w:val="479864E1"/>
    <w:rsid w:val="47D07638"/>
    <w:rsid w:val="47F60811"/>
    <w:rsid w:val="481C1E3F"/>
    <w:rsid w:val="481E1B67"/>
    <w:rsid w:val="48357337"/>
    <w:rsid w:val="483A1FC5"/>
    <w:rsid w:val="4871114E"/>
    <w:rsid w:val="48784838"/>
    <w:rsid w:val="490710DA"/>
    <w:rsid w:val="495B6CB3"/>
    <w:rsid w:val="49654386"/>
    <w:rsid w:val="49771677"/>
    <w:rsid w:val="49793842"/>
    <w:rsid w:val="499532DF"/>
    <w:rsid w:val="499C65DA"/>
    <w:rsid w:val="49BC00EA"/>
    <w:rsid w:val="49D80BB3"/>
    <w:rsid w:val="49D9685C"/>
    <w:rsid w:val="49E93827"/>
    <w:rsid w:val="4A157B41"/>
    <w:rsid w:val="4A4D4DD0"/>
    <w:rsid w:val="4A523B9B"/>
    <w:rsid w:val="4A8B6A0E"/>
    <w:rsid w:val="4AEF0A5D"/>
    <w:rsid w:val="4B1C2B17"/>
    <w:rsid w:val="4B405E6E"/>
    <w:rsid w:val="4BB23620"/>
    <w:rsid w:val="4BD14916"/>
    <w:rsid w:val="4C130AF0"/>
    <w:rsid w:val="4C261ED9"/>
    <w:rsid w:val="4C8D08F8"/>
    <w:rsid w:val="4C990F1E"/>
    <w:rsid w:val="4CB0367F"/>
    <w:rsid w:val="4CB11EC9"/>
    <w:rsid w:val="4CCC5A03"/>
    <w:rsid w:val="4CE21F98"/>
    <w:rsid w:val="4CFE50C5"/>
    <w:rsid w:val="4D095290"/>
    <w:rsid w:val="4D223E85"/>
    <w:rsid w:val="4D38535F"/>
    <w:rsid w:val="4D3A6A52"/>
    <w:rsid w:val="4D4E0039"/>
    <w:rsid w:val="4D76163B"/>
    <w:rsid w:val="4D9370ED"/>
    <w:rsid w:val="4D9A02BD"/>
    <w:rsid w:val="4DAC51D9"/>
    <w:rsid w:val="4DB93EB6"/>
    <w:rsid w:val="4DCC32B2"/>
    <w:rsid w:val="4DD05C3C"/>
    <w:rsid w:val="4DD22573"/>
    <w:rsid w:val="4DEB131E"/>
    <w:rsid w:val="4DF96E4D"/>
    <w:rsid w:val="4E0572B8"/>
    <w:rsid w:val="4E303DDE"/>
    <w:rsid w:val="4E856143"/>
    <w:rsid w:val="4E9A025D"/>
    <w:rsid w:val="4EA82182"/>
    <w:rsid w:val="4EBB6553"/>
    <w:rsid w:val="4ECE4B4C"/>
    <w:rsid w:val="4ED57287"/>
    <w:rsid w:val="4ED6135F"/>
    <w:rsid w:val="4EF62745"/>
    <w:rsid w:val="4EFD360A"/>
    <w:rsid w:val="4F234259"/>
    <w:rsid w:val="4F321274"/>
    <w:rsid w:val="4F32495A"/>
    <w:rsid w:val="4F7A0989"/>
    <w:rsid w:val="4FD44CB6"/>
    <w:rsid w:val="4FD70A21"/>
    <w:rsid w:val="5042550E"/>
    <w:rsid w:val="504650D6"/>
    <w:rsid w:val="5064049C"/>
    <w:rsid w:val="50B30652"/>
    <w:rsid w:val="50F63746"/>
    <w:rsid w:val="51461634"/>
    <w:rsid w:val="516D6324"/>
    <w:rsid w:val="518116D3"/>
    <w:rsid w:val="519260CF"/>
    <w:rsid w:val="51972186"/>
    <w:rsid w:val="51CB3C04"/>
    <w:rsid w:val="51E04E0E"/>
    <w:rsid w:val="51EE0DAA"/>
    <w:rsid w:val="51F1131F"/>
    <w:rsid w:val="521B445E"/>
    <w:rsid w:val="526C62B5"/>
    <w:rsid w:val="52921005"/>
    <w:rsid w:val="52957EFB"/>
    <w:rsid w:val="52CD49FE"/>
    <w:rsid w:val="52D9698C"/>
    <w:rsid w:val="52DC61C7"/>
    <w:rsid w:val="5305777A"/>
    <w:rsid w:val="53376AD4"/>
    <w:rsid w:val="535B73B1"/>
    <w:rsid w:val="53B31710"/>
    <w:rsid w:val="53BA31D8"/>
    <w:rsid w:val="53CA1FD3"/>
    <w:rsid w:val="53CB7D53"/>
    <w:rsid w:val="53E05BC8"/>
    <w:rsid w:val="53E31933"/>
    <w:rsid w:val="53E33B27"/>
    <w:rsid w:val="53F476AF"/>
    <w:rsid w:val="540F5414"/>
    <w:rsid w:val="541512FB"/>
    <w:rsid w:val="541C2BD3"/>
    <w:rsid w:val="54252EAA"/>
    <w:rsid w:val="542F2D45"/>
    <w:rsid w:val="545838E8"/>
    <w:rsid w:val="545C53F3"/>
    <w:rsid w:val="546D6708"/>
    <w:rsid w:val="54856834"/>
    <w:rsid w:val="54A656FE"/>
    <w:rsid w:val="54B50A56"/>
    <w:rsid w:val="54DF44C2"/>
    <w:rsid w:val="54FE7059"/>
    <w:rsid w:val="55136115"/>
    <w:rsid w:val="551F25B1"/>
    <w:rsid w:val="553D4DC4"/>
    <w:rsid w:val="554276EA"/>
    <w:rsid w:val="557E4358"/>
    <w:rsid w:val="55927ED0"/>
    <w:rsid w:val="55E175AE"/>
    <w:rsid w:val="560B4AE8"/>
    <w:rsid w:val="5622652F"/>
    <w:rsid w:val="56476543"/>
    <w:rsid w:val="5675425C"/>
    <w:rsid w:val="56E0004C"/>
    <w:rsid w:val="56E619D9"/>
    <w:rsid w:val="56E65455"/>
    <w:rsid w:val="570D6396"/>
    <w:rsid w:val="572247EB"/>
    <w:rsid w:val="574325C8"/>
    <w:rsid w:val="5766639A"/>
    <w:rsid w:val="57B13197"/>
    <w:rsid w:val="57B47736"/>
    <w:rsid w:val="57BA53F4"/>
    <w:rsid w:val="57C130DF"/>
    <w:rsid w:val="57E07D2A"/>
    <w:rsid w:val="581C191F"/>
    <w:rsid w:val="58410A0D"/>
    <w:rsid w:val="5848687D"/>
    <w:rsid w:val="58550BBE"/>
    <w:rsid w:val="58616CC6"/>
    <w:rsid w:val="5888175E"/>
    <w:rsid w:val="58A104FC"/>
    <w:rsid w:val="58A77784"/>
    <w:rsid w:val="58AD4A07"/>
    <w:rsid w:val="58AD79AF"/>
    <w:rsid w:val="58B03F21"/>
    <w:rsid w:val="58DF47BF"/>
    <w:rsid w:val="58ED3003"/>
    <w:rsid w:val="58F07FCE"/>
    <w:rsid w:val="591A71CB"/>
    <w:rsid w:val="592A43B8"/>
    <w:rsid w:val="59471018"/>
    <w:rsid w:val="59576512"/>
    <w:rsid w:val="599347DE"/>
    <w:rsid w:val="59A70A18"/>
    <w:rsid w:val="59EA5978"/>
    <w:rsid w:val="5A211429"/>
    <w:rsid w:val="5A697806"/>
    <w:rsid w:val="5A6F6252"/>
    <w:rsid w:val="5A990636"/>
    <w:rsid w:val="5AC06F49"/>
    <w:rsid w:val="5AC76DE4"/>
    <w:rsid w:val="5AD55016"/>
    <w:rsid w:val="5AF67CC5"/>
    <w:rsid w:val="5B2C5003"/>
    <w:rsid w:val="5B384C59"/>
    <w:rsid w:val="5B5A35FF"/>
    <w:rsid w:val="5BA52A4D"/>
    <w:rsid w:val="5BB22ED2"/>
    <w:rsid w:val="5BD12625"/>
    <w:rsid w:val="5BF801AA"/>
    <w:rsid w:val="5C130EFE"/>
    <w:rsid w:val="5C2A4A28"/>
    <w:rsid w:val="5C2C49A6"/>
    <w:rsid w:val="5C397F3B"/>
    <w:rsid w:val="5C8258EB"/>
    <w:rsid w:val="5C9E0A09"/>
    <w:rsid w:val="5CBA5A0F"/>
    <w:rsid w:val="5CC00FFF"/>
    <w:rsid w:val="5CCF5FD8"/>
    <w:rsid w:val="5D1A457D"/>
    <w:rsid w:val="5D1B16E3"/>
    <w:rsid w:val="5D3637A0"/>
    <w:rsid w:val="5D3F3244"/>
    <w:rsid w:val="5D405DC4"/>
    <w:rsid w:val="5D6819A1"/>
    <w:rsid w:val="5D936157"/>
    <w:rsid w:val="5E301DAD"/>
    <w:rsid w:val="5E3D5512"/>
    <w:rsid w:val="5E4B1186"/>
    <w:rsid w:val="5E4E4EA8"/>
    <w:rsid w:val="5E6A33A6"/>
    <w:rsid w:val="5E7B7098"/>
    <w:rsid w:val="5E8A241C"/>
    <w:rsid w:val="5EC3226B"/>
    <w:rsid w:val="5F033752"/>
    <w:rsid w:val="5F0D15DD"/>
    <w:rsid w:val="5F2F6FFC"/>
    <w:rsid w:val="5F36342D"/>
    <w:rsid w:val="5F8708BC"/>
    <w:rsid w:val="5FA675BD"/>
    <w:rsid w:val="5FBC4CE9"/>
    <w:rsid w:val="5FD63263"/>
    <w:rsid w:val="5FEC7822"/>
    <w:rsid w:val="5FFF3239"/>
    <w:rsid w:val="6023504B"/>
    <w:rsid w:val="60304BF4"/>
    <w:rsid w:val="603F0954"/>
    <w:rsid w:val="604E4D6D"/>
    <w:rsid w:val="60520B24"/>
    <w:rsid w:val="60537787"/>
    <w:rsid w:val="605F5AE3"/>
    <w:rsid w:val="606A2045"/>
    <w:rsid w:val="60933633"/>
    <w:rsid w:val="609D7B09"/>
    <w:rsid w:val="60CD17D4"/>
    <w:rsid w:val="61070F74"/>
    <w:rsid w:val="613100D9"/>
    <w:rsid w:val="613D198E"/>
    <w:rsid w:val="6143036A"/>
    <w:rsid w:val="61452189"/>
    <w:rsid w:val="61466E65"/>
    <w:rsid w:val="614858EA"/>
    <w:rsid w:val="616D11F3"/>
    <w:rsid w:val="616F4A3F"/>
    <w:rsid w:val="61761115"/>
    <w:rsid w:val="61835F0F"/>
    <w:rsid w:val="618F56A7"/>
    <w:rsid w:val="619F0480"/>
    <w:rsid w:val="619F7525"/>
    <w:rsid w:val="61B21487"/>
    <w:rsid w:val="62036793"/>
    <w:rsid w:val="62201851"/>
    <w:rsid w:val="623B6DDE"/>
    <w:rsid w:val="62654B5F"/>
    <w:rsid w:val="62671AEB"/>
    <w:rsid w:val="62B9414A"/>
    <w:rsid w:val="634F490C"/>
    <w:rsid w:val="637A6D45"/>
    <w:rsid w:val="63900655"/>
    <w:rsid w:val="63A94746"/>
    <w:rsid w:val="63C274BB"/>
    <w:rsid w:val="63C3255F"/>
    <w:rsid w:val="64A2631D"/>
    <w:rsid w:val="64B471D2"/>
    <w:rsid w:val="64E21365"/>
    <w:rsid w:val="64FF5285"/>
    <w:rsid w:val="652A16F7"/>
    <w:rsid w:val="654216F1"/>
    <w:rsid w:val="654A3477"/>
    <w:rsid w:val="65C779B4"/>
    <w:rsid w:val="65D84B3F"/>
    <w:rsid w:val="66095E7B"/>
    <w:rsid w:val="660A02D6"/>
    <w:rsid w:val="663421F6"/>
    <w:rsid w:val="663C4376"/>
    <w:rsid w:val="667F2D39"/>
    <w:rsid w:val="668315A0"/>
    <w:rsid w:val="66AB7F32"/>
    <w:rsid w:val="66D438AD"/>
    <w:rsid w:val="66DC079A"/>
    <w:rsid w:val="67022442"/>
    <w:rsid w:val="67133116"/>
    <w:rsid w:val="671E440A"/>
    <w:rsid w:val="6727091F"/>
    <w:rsid w:val="67386F24"/>
    <w:rsid w:val="675E03A5"/>
    <w:rsid w:val="676579F8"/>
    <w:rsid w:val="67FF6A34"/>
    <w:rsid w:val="68153FC4"/>
    <w:rsid w:val="681A14EF"/>
    <w:rsid w:val="681A1EC8"/>
    <w:rsid w:val="681D7B58"/>
    <w:rsid w:val="68AE68F8"/>
    <w:rsid w:val="68B857A1"/>
    <w:rsid w:val="68CA245F"/>
    <w:rsid w:val="68D2340E"/>
    <w:rsid w:val="68E6568A"/>
    <w:rsid w:val="68E72CEC"/>
    <w:rsid w:val="692D0D5F"/>
    <w:rsid w:val="6951546A"/>
    <w:rsid w:val="695F2D67"/>
    <w:rsid w:val="69624C18"/>
    <w:rsid w:val="699170FB"/>
    <w:rsid w:val="69944975"/>
    <w:rsid w:val="69AB2816"/>
    <w:rsid w:val="69AB7B9C"/>
    <w:rsid w:val="69BE5552"/>
    <w:rsid w:val="69D62FCB"/>
    <w:rsid w:val="6A0B3E93"/>
    <w:rsid w:val="6A2A33DC"/>
    <w:rsid w:val="6A3922D1"/>
    <w:rsid w:val="6A40074D"/>
    <w:rsid w:val="6A682F0F"/>
    <w:rsid w:val="6A890B80"/>
    <w:rsid w:val="6B0C665E"/>
    <w:rsid w:val="6B25210B"/>
    <w:rsid w:val="6B53267D"/>
    <w:rsid w:val="6B6C1416"/>
    <w:rsid w:val="6B867C9F"/>
    <w:rsid w:val="6B953B80"/>
    <w:rsid w:val="6BC74A17"/>
    <w:rsid w:val="6BCF03BB"/>
    <w:rsid w:val="6C761822"/>
    <w:rsid w:val="6CBF0CB6"/>
    <w:rsid w:val="6CE7556D"/>
    <w:rsid w:val="6CF51959"/>
    <w:rsid w:val="6D044CD8"/>
    <w:rsid w:val="6D0E65C9"/>
    <w:rsid w:val="6D1A0EB8"/>
    <w:rsid w:val="6D1A2F98"/>
    <w:rsid w:val="6D3A7378"/>
    <w:rsid w:val="6D535DE1"/>
    <w:rsid w:val="6D83002C"/>
    <w:rsid w:val="6DB04814"/>
    <w:rsid w:val="6DBE747F"/>
    <w:rsid w:val="6DF9123A"/>
    <w:rsid w:val="6E18769D"/>
    <w:rsid w:val="6E2E0830"/>
    <w:rsid w:val="6E2F32A4"/>
    <w:rsid w:val="6E341039"/>
    <w:rsid w:val="6E432944"/>
    <w:rsid w:val="6E726D4E"/>
    <w:rsid w:val="6E7E79A1"/>
    <w:rsid w:val="6E903607"/>
    <w:rsid w:val="6ED73956"/>
    <w:rsid w:val="6EE06E6A"/>
    <w:rsid w:val="6F1916F6"/>
    <w:rsid w:val="6F1D6F2E"/>
    <w:rsid w:val="6F4C0210"/>
    <w:rsid w:val="6FA31D5A"/>
    <w:rsid w:val="6FD213E5"/>
    <w:rsid w:val="6FDE67CD"/>
    <w:rsid w:val="6FDE6F71"/>
    <w:rsid w:val="6FF875D2"/>
    <w:rsid w:val="707E1B3A"/>
    <w:rsid w:val="708B3BC4"/>
    <w:rsid w:val="70E215A8"/>
    <w:rsid w:val="714C2728"/>
    <w:rsid w:val="71732296"/>
    <w:rsid w:val="71AC04EE"/>
    <w:rsid w:val="72342173"/>
    <w:rsid w:val="7283609E"/>
    <w:rsid w:val="728A116D"/>
    <w:rsid w:val="728E19C0"/>
    <w:rsid w:val="72AB0EA5"/>
    <w:rsid w:val="72AB25B6"/>
    <w:rsid w:val="72B2431B"/>
    <w:rsid w:val="73131F38"/>
    <w:rsid w:val="73830A3D"/>
    <w:rsid w:val="738B415A"/>
    <w:rsid w:val="739702F8"/>
    <w:rsid w:val="73A24EEE"/>
    <w:rsid w:val="73B24748"/>
    <w:rsid w:val="73CD7903"/>
    <w:rsid w:val="73D04109"/>
    <w:rsid w:val="73D4395F"/>
    <w:rsid w:val="73E552A3"/>
    <w:rsid w:val="740B7E8A"/>
    <w:rsid w:val="74186781"/>
    <w:rsid w:val="74775DD2"/>
    <w:rsid w:val="747D3176"/>
    <w:rsid w:val="74BA6DFA"/>
    <w:rsid w:val="74EC11CD"/>
    <w:rsid w:val="74EF7533"/>
    <w:rsid w:val="74F76DDB"/>
    <w:rsid w:val="751F5B33"/>
    <w:rsid w:val="753129E0"/>
    <w:rsid w:val="754A17BD"/>
    <w:rsid w:val="75592C56"/>
    <w:rsid w:val="755F1BA0"/>
    <w:rsid w:val="75663FCC"/>
    <w:rsid w:val="75716DAA"/>
    <w:rsid w:val="75903A10"/>
    <w:rsid w:val="75D8177F"/>
    <w:rsid w:val="761A0C82"/>
    <w:rsid w:val="76433C72"/>
    <w:rsid w:val="7648561A"/>
    <w:rsid w:val="76506BB0"/>
    <w:rsid w:val="76573682"/>
    <w:rsid w:val="766747F3"/>
    <w:rsid w:val="768F1B87"/>
    <w:rsid w:val="769E2618"/>
    <w:rsid w:val="76BC1525"/>
    <w:rsid w:val="777E1E79"/>
    <w:rsid w:val="7786734E"/>
    <w:rsid w:val="77A547FC"/>
    <w:rsid w:val="77BB67EB"/>
    <w:rsid w:val="780A6537"/>
    <w:rsid w:val="7810269D"/>
    <w:rsid w:val="783354DA"/>
    <w:rsid w:val="785A05B4"/>
    <w:rsid w:val="785D5101"/>
    <w:rsid w:val="78752BE3"/>
    <w:rsid w:val="78826167"/>
    <w:rsid w:val="789C6D04"/>
    <w:rsid w:val="78AA091F"/>
    <w:rsid w:val="78E86BE8"/>
    <w:rsid w:val="7907171A"/>
    <w:rsid w:val="79466CD3"/>
    <w:rsid w:val="79782D3C"/>
    <w:rsid w:val="79BF39A6"/>
    <w:rsid w:val="79D627D1"/>
    <w:rsid w:val="7A5418D2"/>
    <w:rsid w:val="7A581306"/>
    <w:rsid w:val="7A6336EE"/>
    <w:rsid w:val="7A9D6505"/>
    <w:rsid w:val="7AC771B5"/>
    <w:rsid w:val="7AF94CC5"/>
    <w:rsid w:val="7B1B69EC"/>
    <w:rsid w:val="7B563FED"/>
    <w:rsid w:val="7B9E5539"/>
    <w:rsid w:val="7BA3066A"/>
    <w:rsid w:val="7BBE4367"/>
    <w:rsid w:val="7BEE72B1"/>
    <w:rsid w:val="7C181263"/>
    <w:rsid w:val="7C4E5C6F"/>
    <w:rsid w:val="7C6F09C6"/>
    <w:rsid w:val="7C843470"/>
    <w:rsid w:val="7CA4506F"/>
    <w:rsid w:val="7CBF1BC4"/>
    <w:rsid w:val="7CDC13F5"/>
    <w:rsid w:val="7D2458E7"/>
    <w:rsid w:val="7D44512B"/>
    <w:rsid w:val="7D4E310A"/>
    <w:rsid w:val="7D621B3D"/>
    <w:rsid w:val="7DA676DF"/>
    <w:rsid w:val="7DC228FC"/>
    <w:rsid w:val="7DD215DE"/>
    <w:rsid w:val="7DF12DB4"/>
    <w:rsid w:val="7E051E81"/>
    <w:rsid w:val="7E0C5142"/>
    <w:rsid w:val="7E0E0DC5"/>
    <w:rsid w:val="7E150B3F"/>
    <w:rsid w:val="7E576B36"/>
    <w:rsid w:val="7E660E49"/>
    <w:rsid w:val="7EA65B0D"/>
    <w:rsid w:val="7EA841B7"/>
    <w:rsid w:val="7EAD1356"/>
    <w:rsid w:val="7ECE00D2"/>
    <w:rsid w:val="7F3F3880"/>
    <w:rsid w:val="7F495AEA"/>
    <w:rsid w:val="7FA55F41"/>
    <w:rsid w:val="7FA615A2"/>
    <w:rsid w:val="7FFE26ED"/>
    <w:rsid w:val="7F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Default"/>
    <w:basedOn w:val="1"/>
    <w:qFormat/>
    <w:uiPriority w:val="0"/>
    <w:pPr>
      <w:autoSpaceDE w:val="0"/>
      <w:autoSpaceDN w:val="0"/>
      <w:adjustRightInd w:val="0"/>
      <w:jc w:val="left"/>
    </w:pPr>
    <w:rPr>
      <w:rFonts w:ascii="方正仿宋_GBK" w:hAnsi="方正仿宋_GBK" w:cs="宋体"/>
      <w:color w:val="000000"/>
      <w:kern w:val="0"/>
      <w:sz w:val="24"/>
      <w:szCs w:val="24"/>
    </w:rPr>
  </w:style>
  <w:style w:type="paragraph" w:styleId="4">
    <w:name w:val="Body Text"/>
    <w:basedOn w:val="1"/>
    <w:qFormat/>
    <w:uiPriority w:val="0"/>
    <w:pPr>
      <w:spacing w:after="120"/>
    </w:pPr>
  </w:style>
  <w:style w:type="paragraph" w:styleId="5">
    <w:name w:val="HTML Address"/>
    <w:basedOn w:val="1"/>
    <w:qFormat/>
    <w:uiPriority w:val="0"/>
    <w:pPr>
      <w:jc w:val="left"/>
    </w:pPr>
    <w:rPr>
      <w:rFonts w:ascii="Times New Roman" w:hAnsi="Times New Roman" w:eastAsia="仿宋_GB2312"/>
      <w:kern w:val="0"/>
      <w:sz w:val="24"/>
      <w:szCs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11">
    <w:name w:val="纯文本1"/>
    <w:basedOn w:val="1"/>
    <w:qFormat/>
    <w:uiPriority w:val="0"/>
    <w:rPr>
      <w:rFonts w:ascii="宋体" w:hAnsi="Courier New" w:cs="Courier New"/>
      <w:szCs w:val="21"/>
    </w:rPr>
  </w:style>
  <w:style w:type="paragraph" w:customStyle="1" w:styleId="12">
    <w:name w:val="普通(网站)1"/>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3">
    <w:name w:val="List Paragraph"/>
    <w:basedOn w:val="1"/>
    <w:qFormat/>
    <w:uiPriority w:val="0"/>
    <w:pPr>
      <w:autoSpaceDE w:val="0"/>
      <w:autoSpaceDN w:val="0"/>
      <w:spacing w:before="70"/>
      <w:ind w:left="108" w:hanging="480"/>
      <w:jc w:val="left"/>
    </w:pPr>
    <w:rPr>
      <w:rFonts w:ascii="宋体" w:hAnsi="宋体" w:cs="宋体"/>
      <w:kern w:val="0"/>
      <w:sz w:val="22"/>
      <w:szCs w:val="22"/>
      <w:lang w:eastAsia="en-US"/>
    </w:rPr>
  </w:style>
  <w:style w:type="paragraph" w:customStyle="1" w:styleId="14">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Company>
  <Pages>86</Pages>
  <Words>42414</Words>
  <Characters>42822</Characters>
  <Lines>0</Lines>
  <Paragraphs>0</Paragraphs>
  <TotalTime>48</TotalTime>
  <ScaleCrop>false</ScaleCrop>
  <LinksUpToDate>false</LinksUpToDate>
  <CharactersWithSpaces>43225</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2021-09-27T10:07:00Z</dcterms:created>
  <dc:creator>Administrator</dc:creator>
  <cp:lastModifiedBy>qgrd</cp:lastModifiedBy>
  <cp:lastPrinted>2021-11-23T13:51:00Z</cp:lastPrinted>
  <dcterms:modified xsi:type="dcterms:W3CDTF">2022-01-19T10:28:19Z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y fmtid="{D5CDD505-2E9C-101B-9397-08002B2CF9AE}" pid="3" name="ICV">
    <vt:lpwstr>38C7492345DA4084BD416B9B3EB0CE4C</vt:lpwstr>
  </property>
</Properties>
</file>