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jc w:val="center"/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</w:pPr>
      <w:r>
        <w:rPr>
          <w:rFonts w:hint="eastAsia" w:ascii="CESI宋体-GB2312" w:hAnsi="CESI宋体-GB2312" w:eastAsia="CESI宋体-GB2312" w:cs="CESI宋体-GB2312"/>
          <w:b w:val="0"/>
          <w:bCs w:val="0"/>
          <w:sz w:val="44"/>
          <w:szCs w:val="44"/>
        </w:rPr>
        <w:t>河南省中原科技城总体规划管理条例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08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（2022年11月26日河南省第十三届人民代表大会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08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常务委员会第三十六次会议通过）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为了加强中原科技城总体规划管理，保障中原科技城科研用地，发挥中原科技城在实施创新驱动、科教兴省、人才强省战略中的引领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作用，建设国家创新高地，根据有关法律、行政法规，结合本省实际，制定本条例。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中原科技城总体规划的制定、修改、监督等管理活动，适用本条例。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本条例所称中原科技城总体规划，是指国土空间规划体系中针对科技创新特定区域、保障中原科技城发展的专项规划。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编制中原科技城总体规划应当依据省、郑州市国土空间总体规划，并遵循下列要求：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（一）以创建综合性国家科学中心、建设区域性科技创新中心为目标，打造全省科技创新策源地、创新发展综合改革示范区等；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（二）统筹布局新兴产业集群、未来产业集群、科研院所集群、科教双创集群等科技创新集群，构建政产学研金服用的全过程创新生态链；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（三）优化用地结构，保障科研用地最大化，配套用地最小化，规划科技研发、科研企业、科研教育、科技金融、科研服务、新型工业用地等科研产业用地不得低于建设用地的百分之五十，并为中原科技城未来发展预留充足科研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中原科技城总体规划应当将科研产业用地列入强制性内容。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禁止擅自改变科研产业用地性质。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第五条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中原科技城总体规划由郑州市人民政府组织编制，报省人民政府批准。经依法批准后，叠加到郑州市国土空间规划一张图上。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第六条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省人民政府在审批中原科技城总体规划前，应当提请省人民代表大会常务委员会审议，对常务委员会组成人员的审议意见，省人民政府应当研究办理。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经依法批准的中原科技城总体规划，是中原科技城规划、建设管理的依据；未经法定程序，不得擅自修改。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确需修改的，应当先经省人民政府同意，依法组织修改，并按本条例第五条、第六条规定的程序报批。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未按本条例规定制定、修改、报批中原科技城总体规划或者未履行本条例规定的其他职责的，由有权机关依据职权责令改正，通报批评；对直接负责的主管人员和其他直接责任人员依法给予处分。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本条例自2023年1月1日起施行。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圆B5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仿宋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宋体-GB2312">
    <w:panose1 w:val="02000500000000000000"/>
    <w:charset w:val="86"/>
    <w:family w:val="auto"/>
    <w:pitch w:val="default"/>
    <w:sig w:usb0="800002AF" w:usb1="08476CF8" w:usb2="00000010" w:usb3="00000000" w:csb0="0004000F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仿宋S">
    <w:panose1 w:val="00020600040101000101"/>
    <w:charset w:val="86"/>
    <w:family w:val="auto"/>
    <w:pitch w:val="default"/>
    <w:sig w:usb0="A00002BF" w:usb1="38CF7CFA" w:usb2="00000016" w:usb3="00000000" w:csb0="0004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SI黑体-GB13000">
    <w:panose1 w:val="02000500000000000000"/>
    <w:charset w:val="86"/>
    <w:family w:val="auto"/>
    <w:pitch w:val="default"/>
    <w:sig w:usb0="800002BF" w:usb1="38CF7CF8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wZWVkNmRkODRkNzdiNGM0Y2U2MTc2MDVmODUxNGQifQ=="/>
  </w:docVars>
  <w:rsids>
    <w:rsidRoot w:val="00814D1E"/>
    <w:rsid w:val="00814D1E"/>
    <w:rsid w:val="040950B8"/>
    <w:rsid w:val="14700DED"/>
    <w:rsid w:val="16BEE270"/>
    <w:rsid w:val="1FBF60A4"/>
    <w:rsid w:val="31F70F25"/>
    <w:rsid w:val="366C5889"/>
    <w:rsid w:val="59354086"/>
    <w:rsid w:val="6B135097"/>
    <w:rsid w:val="6CDE4EAE"/>
    <w:rsid w:val="6F7925EB"/>
    <w:rsid w:val="76C9109B"/>
    <w:rsid w:val="76FD636C"/>
    <w:rsid w:val="7F9BEF84"/>
    <w:rsid w:val="AFF25526"/>
    <w:rsid w:val="BB5F8576"/>
    <w:rsid w:val="EEF5A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4540</Words>
  <Characters>4553</Characters>
  <Lines>34</Lines>
  <Paragraphs>9</Paragraphs>
  <TotalTime>0</TotalTime>
  <ScaleCrop>false</ScaleCrop>
  <LinksUpToDate>false</LinksUpToDate>
  <CharactersWithSpaces>4682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2022-08-19T00:39:00Z</dcterms:created>
  <dc:creator>王 浦航</dc:creator>
  <cp:lastModifiedBy>langchao</cp:lastModifiedBy>
  <dcterms:modified xsi:type="dcterms:W3CDTF">2023-01-06T14:50:42Z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F27468A9D71F4F8E9C9B0251F3F34E6A</vt:lpwstr>
  </property>
</Properties>
</file>