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河南省实施《中华人民共和国土地管理法》</w:t>
      </w:r>
    </w:p>
    <w:p>
      <w:pPr>
        <w:jc w:val="center"/>
      </w:pPr>
      <w:r>
        <w:rPr>
          <w:rFonts w:ascii="宋体" w:hAnsi="宋体" w:eastAsia="宋体"/>
          <w:sz w:val="44"/>
        </w:rPr>
        <w:t>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（2023年11月30日河南省第十四届人民代表大会常务委员会第六次会议通过）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耕地保护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农用地转用和土地征收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建设用地管理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为了加强土地管理，促进经济社会高质量发展，根据《中华人民共和国土地管理法》《中华人民共和国土地管理法实施条例》等法律、行政法规，结合本省实际，制定本办法。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本省行政区域内土地的保护、开发、利用和监督管理，适用本办法。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贯彻十分珍惜、合理利用土地和切实保护耕地的基本国策，落实最严格的耕地保护制度，加强对土地管理工作的领导，全面规划，严格管理，依据国土空间规划实施土地用途管制，保护、开发土地资源，制止非法占用土地和破坏土地资源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落实最严格的节约集约用地制度，坚持框定总量、限定容量、盘活存量、做优增量、提高质量，严格执行国家用地控制标准，依法制定地方用地控制标准，开展节约集约用地评价，提高土地利用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县级以上人民政府自然资源主管部门统一负责本行政区域内的土地管理和监督工作。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县级以上人民政府农业农村主管部门负责本行政区域内农村宅基地管理和监督等相关工作。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县级以上人民政府其他有关部门在各自职责范围内，依法做好本行政区域内土地管理的相关工作。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乡镇人民政府按照有关法律、法规的规定，依法做好本行政区域内土地管理的相关工作。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自然资源主管部门应当加强土地管理信息化建设，依托统一的国土空间基础信息平台，开展国土空间规划、土地用途管制、耕地保护、土地开发利用、土地调查、不动产登记、执法监督等事项的信息化管理，对土地利用状况和管理情况进行动态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自然资源、发展改革、住房城乡建设、农业农村、林业、行政审批政务信息管理等有关部门应当建立土地管理信息共享机制，依托同级数据共享交换平台，实现土地管理数据共享和业务协同，并依法公开土地管理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在保护和开发土地资源、合理利用土地以及有关土地科学研究等方面成绩显著的单位和个人，由县级以上人民政府按照规定给予奖励。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省人民政府授权相关机构对设区的市、县（市、区）人民政府的土地利用和土地管理情况进行督察。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各级人民政府应当依法编制国土空间规划。经依法批准的国土空间规划是各类保护、开发、建设活动的基本依据，包括总体规划、详细规划和相关专项规划。在国土空间规划体系之外不再另设其他空间规划。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下级国土空间规划应当符合上级国土空间规划；详细规划、相关专项规划应当符合总体规划；相关专项规划应当相互协同，并与详细规划相衔接。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已经编制国土空间规划的，不再编制土地利用总体规划和城乡规划。国土空间规划批准实施前，经依法批准的土地利用总体规划和城乡规划继续执行。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编制国土空间规划应当坚持生态优先，绿色、可持续发展，落实国民经济和社会发展规划提出的国土空间开发保护要求，科学有序统筹安排农业、生态、城镇等功能空间，划定落实耕地和永久基本农田、生态保护红线、城镇开发边界，优化国土空间结构和布局，提升国土空间开发保护的质量和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土空间规划应当包括国土空间开发保护格局和规划用地布局、结构、用途管制要求等内容，明确耕地保有量、建设用地规模、禁止开垦的范围和水资源利用上限等要求，统筹生产生活设施、基础设施和公共设施用地布局，综合利用地上地下空间，合理确定并严格控制新增建设用地规模，提高土地节约集约利用水平，保障土地的可持续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省国土空间规划由省人民政府组织编制，经省人民代表大会常务委员会审议后，报国务院批准。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国务院指定的城市国土空间总体规划，由该市人民政府组织编制，经本级人民代表大会常务委员会审议后，由省人民政府报国务院批准。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其他设区的市、县（市）国土空间总体规划由设区的市、县（市）人民政府组织编制，经本级人民代表大会常务委员会审议后，逐级报省人民政府批准。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乡镇国土空间规划由乡镇人民政府组织编制，经本级人民代表大会审议后，依法逐级报省人民政府或者其授权的设区的市人民政府批准。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城镇开发边界内的详细规划，由设区的市、县（市）人民政府自然资源主管部门组织编制，报同级人民政府批准。城镇开发边界外的实用性村庄规划作为详细规划，由乡镇人民政府组织编制，并按照法定程序报上一级人民政府批准，其中市辖区内的村庄规划报设区的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相关专项规划由相应的主管部门组织编制，经同级自然资源主管部门进行国土空间总体规划符合性审查后，依法按程序报批。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经批准的国土空间规划应当严格执行，不得擅自修改。因国家和本省重大战略调整、重大项目建设、行政区划调整或者经规划实施评估等确需修改的，应当经原审批机关同意后按照法定程序修改。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县级以上人民政府自然资源主管部门应当会同有关部门组织对下级国土空间规划的各类管控边界、约束性指标等管控要求的落实情况进行监督检查。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严格落实国家规定的土地调查和土地统计制度，并依法公布调查成果和定期发布土地统计资料。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依法公布的土地调查成果是编制国土空间规划以及自然资源管理、保护和利用的重要依据。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依法发布的土地面积统计资料是各级人民政府编制国土空间规划的依据。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自然资源主管部门应当依据国民经济和社会发展状况，会同发展改革、住房城乡建设、交通运输、水利、农业农村等部门根据土地调查成果、规划土地用途和国家制定的统一标准，评定土地等级，并依法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耕地保护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坚持最严格的耕地保护制度，对本行政区域内耕地保护负总责，落实国土空间规划明确的耕地和永久基本农田保护任务，加强耕地种植用途管控，控制耕地转为非耕地，对耕地的数量、质量和生态实行全面保护，严守耕地和永久基本农田保护红线以及粮食安全底线，确保本行政区域内耕地和永久基本农田总量不减少、质量有提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县级以上人民政府应当每年对下一级人民政府耕地保护责任目标落实情况进行考核。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依法实行占用耕地补偿制度。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各级人民政府应当落实耕地占补平衡制度，将各类对耕地的占用统一纳入占补平衡管理，坚持以补定占、占一补一、占优补优，健全补充耕地质量验收制度。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农业建设经依法批准占用耕地的，由占用耕地的单位负责开垦与所占用耕地的数量和质量相当的耕地；没有条件开垦或者开垦的耕地不符合要求的，应当按照省人民政府的规定缴纳耕地开垦费，专款用于开垦新的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在县级行政区域内无法实现占补平衡的，可以通过市场化跨区域调剂的方式补充耕地指标，具体办法由省人民政府制定。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省人民政府应当制定开垦耕地计划，监督占用耕地的单位按照计划开垦耕地或者按照计划组织开垦耕地，并依法组织验收。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耕地开垦、调剂补充耕地指标等所需费用应当列入建设项目成本。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各级人民政府应当根据上一级人民政府确定的耕地保有量目标，严格控制耕地转为林地、草地、园地等其他农用地。对耕地转为林地、草地、园地等其他农用地的，应当坚持量质并重，按照规定及时补足数量相等、质量相当、产能不降的可以长期稳定利用的耕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各级人民政府应当严格执行永久基本农田特殊保护制度。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县级以上人民政府应当按照上一级人民政府下达的永久基本农田保护面积指标，根据依法公布的土地调查成果和定期发布的土地统计资料，在稳定的耕地上组织划定永久基本农田。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永久基本农田划定以乡镇为单位进行，由县级人民政府自然资源主管部门会同同级农业农村主管部门组织实施。永久基本农田应当落实到地块，纳入国家永久基本农田数据库严格管理。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乡镇人民政府应当将永久基本农田的位置、范围向社会公告，并设立保护标志。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在永久基本农田禁止从事下列行为：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（一）发展林果业、挖塘养鱼或者新建其他水产养殖设施；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（二）种植苗木、草皮以及其他破坏耕作层的植物；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（三）挖湖造景、违反规定建设绿化带；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（四）新建畜禽养殖设施和破坏耕作层的种植业设施；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县级以上人民政府应当与下一级人民政府签订永久基本农田保护责任书。乡镇人民政府应当与农村集体经济组织或者村民委员会签订永久基本农田保护责任书，明确保护职责。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各级人民政府应当采取措施，引导因地制宜轮作休耕，改良土壤，提高地力，维护排灌工程设施，防止土地荒漠化、盐渍化、水土流失和土壤污染。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施农业用地选址应当按照保护耕地、节约集约利用土地的原则，适应农业生产需要，少占或者不占耕地。设施农业用地不再使用的，经营者应当在一年内组织恢复种植条件。设施农业用地、乡村生产道路用地管理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非农业建设必须节约使用土地，可以利用荒地的，不得占用耕地；可以利用劣地的，不得占用好地。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非农业建设依法占用永久基本农田的，县级以上人民政府应当依法对耕地耕作层的土壤存储、利用等作出安排；建设单位应当将所占用耕地耕作层的土壤进行剥离，并运输至县级以上人民政府规定的存储或者利用区域，用于新开垦耕地、劣质地或者其他耕地的土壤改良，剥离、运输费用应当列入建设项目成本。</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土地出让或者划拨价款的百分之二十缴纳闲置费；连续二年未使用的，经原批准机关批准，由县级以上人民政府无偿收回用地单位的土地使用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按照国土空间规划，开发未确定土地使用权的国有荒山、荒地、荒滩从事种植业、林业、畜牧业、渔业生产的，应当注重生态环境改善和土地节约集约利用，由土地所在地的县级人民政府批准。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在国土空间规划确定的土地开垦区内，开发农民集体所有的荒山、荒沟、荒丘、荒滩从事种植业、林业、畜牧业、渔业生产的，依照《中华人民共和国农村土地承包法》的规定执行。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市、区）、乡镇人民政府应当依据国土空间规划，组织开展农用地整理、建设用地整理、未利用地开发以及历史遗留工矿废弃地、自然灾害损毁土地复垦等土地综合整治，提高耕地质量，增加有效耕地面积，促进土地节约集约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鼓励社会主体依法参与土地综合整治。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对于土地综合整治等产生的新增耕地，符合有关规定的，可以用作建设占用耕地的补充。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因挖损、塌陷、压占等造成土地破坏，用地单位和个人应当按照国家规定负责复垦，复垦后应当按照规定向所在地县级以上人民政府自然资源主管部门申请验收；没有条件复垦或者复垦不符合要求的，应当依法缴纳土地复垦费，专项用于土地复垦。复垦的土地应当优先用于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对历史遗留损毁土地和自然灾害损毁土地，由县级以上人民政府按照国家规定组织复垦；土地权利人明确的，可以采取扶持、优惠措施，鼓励土地权利人自行复垦。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省人民政府及其相关部门应当推进各级涉农资金、项目和指标整合，按照谁保护、谁受益的原则，对承担耕地和永久基本农田保护任务的地区给予奖励。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设区的市、县（市）人民政府应当建立耕地保护激励机制，对耕地保护良好的集体经济组织和农户予以奖补，具体标准由设区的市、县（市）人民政府确定。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及其有关部门应当依法深化农村土地制度改革，优化土地资源配置，按照国家规定推进农村土地所有权、承包权、经营权分置并行，落实集体所有权，稳定农户承包权，放活土地经营权，完善引导、规范土地经营权流转的相关制度，培育新型经营主体，促进农业适度规模经营，推进农业农村现代化，推动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农用地转用和土地征收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建设项目需要使用土地，涉及农用地转为建设用地的，应当办理农用地转用审批手续；涉及土地征收的，应当同时提出土地征收申请，报有批准权的人民政府批准。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设区的市、县（市）人民政府对农用地转用、土地征收前期工作和申请材料的合法性、真实性、完整性以及征地补偿安置和社会保障等负责，依法保障被征地农民的合法权益。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永久基本农田转为建设用地的，报国务院批准。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国土空间规划确定的城市和村庄、集镇建设用地规模范围内，为实施该规划而将永久基本农田以外的农用地转为建设用地的，按照土地利用年度计划，由设区的市、县（市）人民政府组织自然资源主管部门拟订农用地转用方案，分批次按照下列权限审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（一）国务院批准国土空间规划的，报国务院或者经国务院授权由省人民政府批准；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（二）省人民政府批准国土空间总体规划的，由省人民政府或者省人民政府授权的设区的市人民政府批准；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（三）设区的市人民政府批准国土空间总体规划的，由设区的市人民政府批准；农村村民住宅用地，涉及农用地转用的，可以授权县（市）人民政府批准。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建设项目确需占用国土空间规划确定的城市和村庄、集镇建设用地规模范围外的农用地的，报国务院或者经国务院授权由省人民政府批准。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未利用地转为建设用地，应当符合国土空间规划，并纳入土地利用年度计划。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项目需要使用国土空间规划确定的国有未利用地不足六公顷的，在县（市）行政区域内，由县（市）人民政府批准；在市辖区行政区域内，由设区的市人民政府批准。六公顷以上的，由省人民政府或者其授权设区的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农村集体经济组织使用本集体经济组织所有的未利用地进行非农业建设的，按照省人民政府规定的权限批准。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因公共利益需要，依法征收农民集体所有土地的，设区的市、县（市、区）人民政府应当发布征收土地预公告，并开展拟征收土地现状调查和社会稳定风险评估。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征收土地预公告应当采用便于农村集体经济组织及其成员知晓的方式，在拟征收土地所在的乡镇和村、村民小组范围内发布，预公告时间不少于十个工作日。自征收土地预公告发布之日起，任何单位和个人不得在拟征收范围内抢栽抢建；违反规定抢栽抢建的，对抢栽抢建部分不予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拟征收土地现状调查由设区的市、县（市、区）人民政府组织相关部门或者乡镇人民政府开展。拟征收土地现状调查应当调查核实拟征收土地的位置、权属、地类、面积以及农村村民住宅、其他地上附着物和青苗等的权属、种类、数量等情况，调查结果应当由拟征收土地的所有权人、使用权人予以确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土地现状调查结果应当在拟征收土地所在乡镇和村、村民小组范围内公示，时间不少于五个工作日。拟征收土地的所有权人、使用权人或者其他利害关系人对调查结果有异议的，应当在公示期内提出，由负责土地现状调查的部门或者乡镇人民政府实地复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设区的市、县（市、区）人民政府应当组织开展社会稳定风险评估，对征收土地的社会稳定风险状况进行综合研判，确定风险点，提出风险防范措施和处置预案。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社会稳定风险评估应当有被征地的农村集体经济组织及其成员、村民委员会和其他利害关系人参加，评估报告应当载明参加人员的意见，评估结果是申请征收土地的重要依据。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设区的市、县（市、区）人民政府应当依据土地现状调查结果和社会稳定风险评估结果，结合当地经济社会发展实际，组织自然资源、财政、农业农村、人力资源社会保障、林业等有关部门拟定征地补偿安置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征地补偿安置方案应当包括征收范围、土地现状、征收目的、补偿方式和标准、安置对象、安置方式、社会保障等内容。征地补偿安置方案中的补偿标准应当包括土地、农村村民住宅、其他地上附着物和青苗等；社会保障内容应当包括保障对象条件、保障项目、标准、保障方式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征地补偿安置方案拟定后，设区的市、县（市、区）人民政府应当在政府门户网站、拟征收土地所在的乡镇和村、村民小组范围内进行公告，听取被征地的农村集体经济组织及其成员、村民委员会和其他利害关系人的意见，公告时间不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超过被征地农村集体经济组织全体成员半数以上认为拟定的征地补偿安置方案不符合法律、法规规定的，设区的市、县（市、区）人民政府应当组织召开听证会，如实记录被征地农村集体经济组织及其成员的意见，根据法律、法规的规定和听证会情况修改征地补偿安置方案并予以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设区的市、县（市、区）人民政府根据法律、法规规定和听证会等情况确定征地补偿安置方案后，应当组织有关部门测算并落实土地补偿费、安置补助费、农村村民住宅以及其他地上附着物和青苗等补偿费用、社会保障费用，保证足额到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区）人民政府有关部门应当与拟征收土地的所有权人、使用权人就补偿、安置等签订协议。征地补偿安置协议应当对交付土地的期限、条件和征收土地补偿费用及其支付期限、社会保障等进行约定，明确各方权利义务，并由协议各方签名或者盖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征地补偿安置协议签订期限内，个别确实难以达成协议的，设区的市、县（市、区）人民政府应当在申请征收土地时如实说明。</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依法完成土地征收预公告、土地现状调查、社会稳定风险评估、征地补偿安置方案公告、征地补偿登记与协议签订等相关前期工作后，设区的市、县（市）人民政府方可提出土地征收申请，报省人民政府批准，需要国务院批准的，由省人民政府审核并转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省人民政府应当对征收土地的必要性、合理性、是否符合《中华人民共和国土地管理法》第四十五条规定的为了公共利益确需征收土地的情形以及是否符合法定程序进行审查。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征收土地申请经依法批准后，设区的市、县（市、区）人民政府应当在收到批准文件之日起十五个工作日内，在政府门户网站和拟征收土地所在的乡镇和村、村民小组范围内就征地批准机关、文号和征收时间、征收范围等发布土地征收公告并组织实施，公告可以采取拍照、录像等方式留存记录，并以有效方式送达未签订补偿协议的当事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对个别未达成征地补偿安置协议的，设区的市、县（市、区）人民政府在公告送达当事人十个工作日内仍达不成协议的，依据征地补偿安置方案、土地现状调查结果等作出征地补偿安置决定，明确补偿、安置的方式和标准，社会保障以及交地期限等内容，并依法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征收集体所有土地，应当给予公平、合理的补偿，保障被征地农民原有生活水平不降低、长远生计有保障。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省人民政府应当制定区片综合地价，确定征收集体所有土地的土地补偿费和安置补助费标准。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应当分类制定并定期调整征收集体所有土地的地上附着物和青苗等最低补偿标准。设区的市、县（市）人民政府根据实际制定本行政区域地上附着物和青苗等的具体补偿标准，但不得低于省人民政府规定的最低补偿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征收土地涉及农村村民住宅的，设区的市、县（市）人民政府应当按照先补偿后搬迁、居住条件有改善的原则，尊重农村村民意愿，采取重新安排宅基地建房、提供安置房或者货币补偿等方式给予公平、合理的补偿，并对因征收造成的搬迁、临时安置等费用予以补偿，保障农村村民居住权利和合法住房财产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采用重新安排宅基地建房的，对其住宅按照重置价格给予货币补偿；不能重新安排宅基地建房的，按照设区的市、县（市）人民政府依法确定的标准提供安置房或者给予货币补偿安置。采用货币补偿方式的，应当评估宅基地和住宅的价值，一并作出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设区的市、县（市、区）人民政府应当在征收土地公告发布之日起十五个工作日内足额支付土地补偿费、安置补助费、农村村民住宅以及其他地上附着物和青苗等补偿费用。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县（市、区）人民政府应当在征收土地批复前将被征地农民的社会保障费用资金划拨到相应社会保险基金；设区的市、县（市、区）人民政府人力资源社会保障部门应当在征收土地公告发布后十五个工作日内将上述资金计入被征地农民个人账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设区的市、县（市、区）人民政府应当按照省人民政府规定和征地补偿安置方案，将土地补偿费支付给被征收土地的农村集体经济组织或者村民自治组织。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安置补助费必须专款专用，不得挪作他用。需要统一安置的人员由农村集体经济组织或者村民自治组织安置的，应当将安置补助费直接支付给农村集体经济组织或者村民自治组织；不需要统一安置的，应当将安置补助费直接支付给被安置人员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土地补偿费、安置补助费、农村村民住宅以及其他地上附着物和青苗等补偿费用、社会保障费用未按照规定足额支付到位的，不得占用土地。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因建设需要，经批准收回农民依法耕种的国有土地，按照本办法有关规定支付地上附着物和青苗补偿费，对困难人员给予适当补贴。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收回国有林场、农场等使用的国有土地，有关法律、行政法规已有规定的从其规定，法律、行政法规未作规定的，参照有关征收农村集体所有土地补偿标准执行。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建设用地管理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建设项目需要使用土地的，应当符合国土空间规划、土地利用年度计划和用途管制以及节约资源、保护生态环境的要求，优先使用存量建设用地，鼓励采用节约集约用地新技术和新模式，提高建设用地使用效率。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各地在严格执行国家用地控制标准的基础上，结合实际制定地方用地控制标准，细化和提高节约集约用地要求。建设项目设计、施工和建设用地审批应当严格执行用地控制标准。建设标准和设计规范应当符合建设项目用地控制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县级以上人民政府自然资源主管部门应当组织开展建设用地利用情况普查，根据普查情况开展区域、城市和开发区节约集约用地评价，并将评价成果应用于低效用地再开发、开发区调区扩区等工作。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国有建设用地使用权应当以出让、租赁、作价出资或者入股等有偿方式取得，但法律、行政法规规定可以以划拨方式取得的除外。采取出让、租赁方式供应土地的，除依法可以采取协议方式外，应当采取招标、拍卖、挂牌等竞争性方式确定土地使用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集体经营性建设用地出让、出租等的具体办法按照法律、行政法规和国家有关规定执行。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建设项目涉及新增建设用地的，建设单位应当在建设项目审批、核准前或者备案后，按照规定向县级以上人民政府自然资源主管部门提出建设项目用地预审与选址申请，县级以上人民政府及其有关部门应当根据审批制度改革要求采取信息共享、并联审批等方式提高审查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县级以上人民政府自然资源主管部门按照国家有关规定进行审查，对符合条件的，统一核发建设项目用地预审与选址意见书；对不符合条件的，书面通知申请人。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镇开发边界范围内或者使用已经依法批准的建设用地进行建设的项目，不再单独办理用地预审；需要办理规划选址的，由项目所在地县级以上人民政府自然资源主管部门对规划选址情况进行审查，核发建设项目用地预审与选址意见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农村集体经济组织使用乡镇国土空间规划确定的建设用地兴办企业或者与其他单位、个人以土地使用权入股、联营等形式共同举办企业的，应当持有关批准文件，向设区的市、县（市）人民政府自然资源主管部门提出申请，设区的市、县（市）人民政府自然资源主管部门应当在十个工作日内提出意见，报同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和村公共设施、公益事业建设使用本集体所有土地，经乡镇人民政府审核，向设区的市、县（市）人民政府自然资源主管部门提出申请，设区的市、县（市）人民政府自然资源主管部门应当在十个工作日内提出意见，报同级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本条前两款用地涉及占用农用地的，应当依法办理农用地转用审批手续。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有下列情形之一的，由有关人民政府自然资源主管部门报经原批准用地的人民政府或者有批准权的人民政府批准，可以收回国有土地使用权：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（一）为实施国土空间规划进行旧城区改建以及其他公共利益需要，确需使用土地的；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（二）土地出让等有偿使用合同约定的使用期限届满，土地使用者未申请续期或者申请续期未获批准的；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（三）因单位撤销、迁移等原因，停止使用原划拨的国有土地的；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（四）公路、铁路、机场、矿场等经核准报废的。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依照前款第一项规定收回国有土地使用权的，对土地使用权人应当给予适当补偿。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县级以上人民政府应当按照国家规定落实土地储备制度，根据国民经济和社会发展规划、国土空间规划、城市建设发展和土地市场调控需要，科学编制土地储备三年滚动计划和土地储备年度计划。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储备的土地应当产权清晰，供应前完成前期开发，并具备动工开发条件。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县（市、区）人民政府应当落实国家乡村振兴战略，依法保障乡村产业发展、乡镇和村公共设施、公益事业建设用地需求，建设用地指标应当向乡村发展倾斜，统筹城乡发展，助力乡村振兴。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按照国家规定安排建设用地指标，合理保障本行政区域农村村民宅基地需求。县（市、区）、乡镇国土空间规划和村庄规划应当统筹考虑农村村民生产、生活需求，突出节约集约用地导向，科学划定宅基地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相邻乡镇和村可以根据安全、经济、方便群众使用的原则，统筹使用公共设施、公益事业建设用地。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农村村民建住宅，应当符合乡镇国土空间规划、村庄规划，不得占用永久基本农田，遵循节约集约、因地制宜的原则，尽量使用原有的宅基地和村内空闲地，具体管理办法由省人民政府制定。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农村村民申请宅基地的，应当以户为单位向所在的农村集体经济组织提出申请；没有设立农村集体经济组织的，应当向所在的村民委员会提出申请。宅基地申请依法经农村村民集体讨论通过并在本集体范围内公示，公示时间不少于七个工作日。公示无异议或者异议不成立的，报乡镇人民政府审核批准，批准程序和时限按照省人民政府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农村村民出卖、出租、赠与住宅后，再申请宅基地的，不予批准。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禁止在宅基地审批中向农村村民收取耕地开垦费或者占补平衡指标费。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进城落户的农村村民可以依法自愿有偿退出宅基地。退出的宅基地在符合国土空间规划的前提下，优先用于保障本集体经济组织成员的宅基地需求。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鼓励农村集体经济组织及其成员通过自主经营、合作经营、委托经营等方式盘活利用闲置宅基地和闲置住宅，用于发展休闲农业、乡村旅游等。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禁止违背农村村民意愿强制流转宅基地，禁止违法收回农村村民依法取得的宅基地，禁止以退出宅基地作为农村村民进城落户的条件，禁止强迫农村村民搬迁退出宅基地。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县级以上人民政府自然资源主管部门对违反土地管理法律、法规的行为进行监督检查。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县级以上人民政府农业农村主管部门对违反农村宅基地管理法律、法规的行为进行监督检查。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县级以上人民政府发展改革、公安、民政、财政、人力资源社会保障、生态环境、住房城乡建设、交通运输、水利等有关部门应当按照各自职责，落实共同责任。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省人民政府可以根据实际情况，决定将县级人民政府部门有关违反土地管理法律、法规、规章规定行为的行政处罚权，交由能够有效承接的乡镇人民政府、街道办事处行使，并定期组织评估。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有关设区的市、县（市）人民政府及其自然资源、农业农村等主管部门应当加强组织协调、业务指导、执法监督，建立健全行政处罚协调配合机制，完善评议、考核制度。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省人民政府授权的自然资源督察机构对下列土地利用和土地管理情况进行督察：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（一）国土空间规划编制、审批和实施情况；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（二）耕地保护情况；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（三）土地开发利用和节约集约利用情况；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（四）土地征收情况；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（五）有关土地管理重大决策落实情况；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（六）土地管理法律、法规执行情况；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（七）其他土地利用和土地管理情况。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省人民政府授权的自然资源督察机构在进行督察时，可以采取下列措施：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（一）向有关单位和个人了解督察事项有关情况，有关单位和个人应当配合、协助督察机构工作；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（二）就督察发现的问题向被督察的人民政府发送督察意见书，并监督其组织整改；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（三）约谈被督察的人民政府有关负责人；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（四）对违反土地管理法律、法规，或者落实国家有关土地管理重大决策不力的地方人民政府和有关部门，予以通报；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（五）依法向纪检监察机关、任免机关等有关机关提出追究相关责任人责任的建议。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县级以上人民政府自然资源、农业农村主管部门和乡镇人民政府应当建立土地巡查制度，及时发现并依法制止土地违法行为。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县级以上人民政府自然资源主管部门应当会同同级信用建设部门建立信用监管机制，按照有关规定将建设用地供应交易和供后开发利用纳入自然资源信用信息管理体系，对建设用地市场重大失信行为依法实施惩戒，并依法公开相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被征收土地的所有权人、使用权人对征地补偿安置方案、征地补偿安置协议、征地补偿安置决定等前期征地程序不服提起行政复议的，应当依法以作出该行政行为的设区的市、县（市、区）人民政府作为被申请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违反本办法规定的行为，法律、行政法规已有法律责任规定的，从其规定。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违反本办法第二十条规定，非法占用永久基本农田的，由县级以上人民政府自然资源主管部门责令限期改正；逾期不改正的，按照占用面积处耕地开垦费二倍以上五倍以下的罚款；破坏种植条件的，由县级以上人民政府自然资源主管部门或者农业农村主管部门处耕地开垦费五倍以上十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侵占、挪用或者未足额支付应当支付的土地补偿费、安置补助费和农村村民住宅以及其他地上附着物和青苗等补偿费用的，按照职责权限由相关人民政府或者主管部门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未经批准或者采取欺骗手段骗取批准、非法占用土地的，由县级以上人民政府自然资源主管部门责令退还非法占用的土地，对违反国土空间规划擅自将农用地改为建设用地的，限期拆除在非法占用的土地上新建的建筑物和其他设施，恢复土地原状；对符合国土空间规划的，没收在非法占用的土地上新建的建筑物和其他设施，并按照下列标准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（一）占用永久基本农田的，处每平方米一千元的罚款；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（二）占用永久基本农田以外的耕地的，处每平方米三百元以上五百元以下的罚款；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（三）占用其他土地的，处每平方米一百元以上三百元以下的罚款。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农村村民未经批准或者采取欺骗手段骗取批准，非法占用土地建住宅的，由县级以上人民政府农业农村主管部门责令退还非法占用的土地，限期拆除在非法占用的土地上新建的房屋。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县级以上人民政府自然资源主管部门及其工作人员有下列行为之一的，对直接负责的主管人员和其他直接责任人员依法给予处分；构成犯罪的，依法追究刑事责任：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（一）违反法定权限、程序擅自批准或者修改国土空间规划的；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（二）违反法定权限、程序或者不按照国土空间规划确定的土地用途批准使用土地的；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（三）违反法定权限、程序进行土地征收的，或者在土地征收工作中故意提供虚假材料或者故意隐瞒真实情况的；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（四）在土地开垦、复垦验收中弄虚作假的；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县级以上人民政府农业农村主管部门及其工作人员在农村宅基地监督管理工作中玩忽职守、滥用职权、徇私舞弊，对直接负责的主管人员和其他直接责任人员依法给予处分；构成犯罪的，依法追究刑事责任。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土地管理涉及街道办事处的，参照本办法关于乡镇人民政府的有关规定执行。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济源产城融合示范区、郑州航空港经济综合实验区参照设区的市执行本办法。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Times New Roman" w:hAnsi="Times New Roman" w:eastAsia="仿宋_GB2312"/>
          <w:sz w:val="32"/>
        </w:rPr>
        <w:t>　本办法自</w:t>
      </w:r>
      <w:bookmarkStart w:id="0" w:name="_GoBack"/>
      <w:bookmarkEnd w:id="0"/>
      <w:r>
        <w:rPr>
          <w:rFonts w:ascii="Times New Roman" w:hAnsi="Times New Roman" w:eastAsia="仿宋_GB2312"/>
          <w:sz w:val="32"/>
        </w:rPr>
        <w:t>2024年1月1日起施行。1999年9月24日河南省第九届人民代表大会常务委员会第十一次会议通过的《河南省实施〈土地管理法〉办法》同时废止。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0E48C0"/>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2024-01-29T12:35:00Z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