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074B6">
      <w:pPr>
        <w:pStyle w:val="a5"/>
        <w:rPr>
          <w:rFonts w:hAnsi="宋体" w:cs="宋体" w:hint="eastAsia"/>
        </w:rPr>
      </w:pPr>
    </w:p>
    <w:p w:rsidR="00000000" w:rsidRDefault="00B074B6">
      <w:pPr>
        <w:pStyle w:val="a5"/>
        <w:rPr>
          <w:rFonts w:hAnsi="宋体" w:cs="宋体" w:hint="eastAsia"/>
        </w:rPr>
      </w:pPr>
    </w:p>
    <w:p w:rsidR="00000000" w:rsidRDefault="00B074B6">
      <w:pPr>
        <w:pStyle w:val="a5"/>
        <w:jc w:val="center"/>
        <w:rPr>
          <w:rFonts w:hAnsi="宋体" w:cs="宋体" w:hint="eastAsia"/>
          <w:sz w:val="44"/>
          <w:szCs w:val="44"/>
        </w:rPr>
      </w:pPr>
      <w:r>
        <w:rPr>
          <w:rFonts w:hAnsi="宋体" w:cs="宋体" w:hint="eastAsia"/>
          <w:sz w:val="44"/>
          <w:szCs w:val="44"/>
        </w:rPr>
        <w:t>河南省实施《中华人民共和国</w:t>
      </w:r>
    </w:p>
    <w:p w:rsidR="00000000" w:rsidRDefault="00B074B6">
      <w:pPr>
        <w:pStyle w:val="a5"/>
        <w:jc w:val="center"/>
        <w:rPr>
          <w:rFonts w:hAnsi="宋体" w:cs="宋体" w:hint="eastAsia"/>
          <w:szCs w:val="32"/>
        </w:rPr>
      </w:pPr>
      <w:r>
        <w:rPr>
          <w:rFonts w:hAnsi="宋体" w:cs="宋体" w:hint="eastAsia"/>
          <w:sz w:val="44"/>
          <w:szCs w:val="44"/>
        </w:rPr>
        <w:t>职业教育法》办法</w:t>
      </w:r>
    </w:p>
    <w:p w:rsidR="00000000" w:rsidRDefault="00B074B6">
      <w:pPr>
        <w:pStyle w:val="a5"/>
        <w:jc w:val="center"/>
        <w:rPr>
          <w:rFonts w:hAnsi="宋体" w:cs="宋体" w:hint="eastAsia"/>
          <w:szCs w:val="32"/>
        </w:rPr>
      </w:pPr>
    </w:p>
    <w:p w:rsidR="00000000" w:rsidRDefault="00B074B6">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1997</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25</w:t>
      </w:r>
      <w:r>
        <w:rPr>
          <w:rFonts w:ascii="楷体_GB2312" w:eastAsia="楷体_GB2312" w:hAnsi="楷体_GB2312" w:cs="楷体_GB2312" w:hint="eastAsia"/>
        </w:rPr>
        <w:t>日河南省第八届人民代表大会常务委</w:t>
      </w:r>
    </w:p>
    <w:p w:rsidR="00000000" w:rsidRDefault="00B074B6">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员会第二十七次会议通过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w:t>
      </w:r>
    </w:p>
    <w:p w:rsidR="00000000" w:rsidRDefault="00B074B6">
      <w:pPr>
        <w:pStyle w:val="a5"/>
        <w:ind w:firstLine="631"/>
        <w:rPr>
          <w:rFonts w:ascii="楷体_GB2312" w:eastAsia="楷体_GB2312" w:hAnsi="楷体_GB2312" w:cs="楷体_GB2312" w:hint="eastAsia"/>
        </w:rPr>
      </w:pPr>
      <w:r>
        <w:rPr>
          <w:rFonts w:ascii="楷体_GB2312" w:eastAsia="楷体_GB2312" w:hAnsi="楷体_GB2312" w:cs="楷体_GB2312" w:hint="eastAsia"/>
        </w:rPr>
        <w:t>省第十一届人民代表大会常务委员会第十六次会议《关</w:t>
      </w:r>
    </w:p>
    <w:p w:rsidR="00000000" w:rsidRDefault="00B074B6">
      <w:pPr>
        <w:pStyle w:val="a5"/>
        <w:ind w:firstLine="631"/>
        <w:rPr>
          <w:rFonts w:ascii="楷体_GB2312" w:eastAsia="楷体_GB2312" w:hAnsi="楷体_GB2312" w:cs="楷体_GB2312" w:hint="eastAsia"/>
        </w:rPr>
      </w:pPr>
      <w:r>
        <w:rPr>
          <w:rFonts w:ascii="楷体_GB2312" w:eastAsia="楷体_GB2312" w:hAnsi="楷体_GB2312" w:cs="楷体_GB2312" w:hint="eastAsia"/>
        </w:rPr>
        <w:t>于修改部分地方性法规的决定》修正</w:t>
      </w:r>
      <w:r>
        <w:rPr>
          <w:rFonts w:ascii="楷体_GB2312" w:eastAsia="楷体_GB2312" w:hAnsi="楷体_GB2312" w:cs="楷体_GB2312" w:hint="eastAsia"/>
        </w:rPr>
        <w:t>）</w:t>
      </w:r>
    </w:p>
    <w:p w:rsidR="00000000" w:rsidRDefault="00B074B6">
      <w:pPr>
        <w:pStyle w:val="a5"/>
        <w:rPr>
          <w:rFonts w:hAnsi="宋体" w:cs="宋体" w:hint="eastAsia"/>
        </w:rPr>
      </w:pPr>
    </w:p>
    <w:p w:rsidR="00000000" w:rsidRDefault="00B074B6">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为了实施科教兴豫战略，发展职业教育，提高劳动者素质，促进社会主义现代化建设，根据《中华人民共和国职业教育法》，结合我省实际，制定本办法。</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本办法适用于本省各级各类职业学校教育和职业培训。</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职业教育是教育事业的</w:t>
      </w:r>
      <w:r>
        <w:rPr>
          <w:rFonts w:ascii="仿宋_GB2312" w:eastAsia="仿宋_GB2312" w:hAnsi="仿宋_GB2312" w:cs="仿宋_GB2312" w:hint="eastAsia"/>
        </w:rPr>
        <w:t>重要组成部分，是促进经济、社会发展和劳动就业的重要途径。实施职业教育以中等职业教育为重点，积极发展高等职业教育，因地制宜发展初等职业教育，开展各种形式的职业培训，建立、健全职业学校教育与职业培训并举，并与其他教育相互沟通、协调发展的职业教育体系。</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实施职业教育必须全面贯彻国家教育方针，对受教育者进行思想政治教育和职业道德教育，传授职业知识，培养职</w:t>
      </w:r>
      <w:r>
        <w:rPr>
          <w:rFonts w:ascii="仿宋_GB2312" w:eastAsia="仿宋_GB2312" w:hAnsi="仿宋_GB2312" w:cs="仿宋_GB2312" w:hint="eastAsia"/>
        </w:rPr>
        <w:lastRenderedPageBreak/>
        <w:t>业技能，进行职业指导，全面提高受教育者的素质。</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发展职业教育应当适应社会主义市场经济的需要，从实际出发，实行灵活多样的办学形式，</w:t>
      </w:r>
      <w:r>
        <w:rPr>
          <w:rFonts w:ascii="仿宋_GB2312" w:eastAsia="仿宋_GB2312" w:hAnsi="仿宋_GB2312" w:cs="仿宋_GB2312" w:hint="eastAsia"/>
        </w:rPr>
        <w:t>培养实用人才和熟练劳动者，为本地区、本行业经济和社会发展服务。</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实施职业教育应当根据实际需要，同国家制定的职业分类和职业等级标准相适应，实行学历证书、培训证书和职业资格证书制度。</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各级人民政府应当将职业教育纳入国民经济和社会发展规划，制定与之相配套的政策和措施；举办示范性骨干职业学校和职业培训机构；扶持农村和贫困地区发展职业教育。</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县级人民政府应当加强本行政区域职业教育的统筹管理，加快职业教育的发展，结合当地资源条件和产业、技艺优势，因地制宜办好中等职业学校和职业培训机构，</w:t>
      </w:r>
      <w:r>
        <w:rPr>
          <w:rFonts w:ascii="仿宋_GB2312" w:eastAsia="仿宋_GB2312" w:hAnsi="仿宋_GB2312" w:cs="仿宋_GB2312" w:hint="eastAsia"/>
        </w:rPr>
        <w:t>开展多形式、多类型的农村实用技术培训。</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省教育行政部门负责全省职业教育工作的统筹规划、综合协调、宏观管理。</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省教育行政部门、劳动行政部门和其他有关部门在省人民政府规定的职责范围内，分别负责有关的职业教育工作。</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行业组织和企业、事业组织须依法履行实施职业教育的义务。</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举办职业学校和职业培训机构，应当具备法定条件，符合当地职业教育的统筹规划和布局，并按照国家和省有关规定审批。</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职业学校和职业培训机构必须设有与专业教育相适应的生产实验、实习场所</w:t>
      </w:r>
      <w:r>
        <w:rPr>
          <w:rFonts w:ascii="仿宋_GB2312" w:eastAsia="仿宋_GB2312" w:hAnsi="仿宋_GB2312" w:cs="仿宋_GB2312" w:hint="eastAsia"/>
        </w:rPr>
        <w:t>或基地。</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城市职业学校的实验、实习设备和校外实习基地，由学校主管部门和参与联合办学的部门、企事业组织提供；农村职业学校的实验、实习基地和设备，由当地人民政府协调解决。各级人民政府及主管部门应当重视和加强职业教育的各项实验、实习基地建设。</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企业、事业组织应当接纳职业学校和职业培训机构的学生和教师实习，并提供技术指导。</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职业学校和职业培训机构实行定期评估制度。职业教育的质量标准和评估标准由省人民政府制定。</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县级以上人民政府及有关部门应当加强职业教育管理，加强</w:t>
      </w:r>
      <w:r>
        <w:rPr>
          <w:rFonts w:ascii="仿宋_GB2312" w:eastAsia="仿宋_GB2312" w:hAnsi="仿宋_GB2312" w:cs="仿宋_GB2312" w:hint="eastAsia"/>
        </w:rPr>
        <w:t>职业教育教学研究和教材建设，切实提高教育质量。</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职业学校学生人数平均经费标准应当高于同级普通学校。其经费标准由省教育行政部门、劳动行政部门会同财政部门制定。</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各级人民政府及有关部门应当保证用于职业教育的经费逐年增长。职业学校举办者须按照学生人数平均经费标准足额拨付职业教育经费。</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职业教育经费通过下列渠道依法筹措：</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（一）财政拨款；</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（二）办学主管部门或单位自筹；</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（三）教育费附加；</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（四）收取学费；</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（五）校办产业收入；</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（六）社会捐资和贷款；</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（七）法律、法规规定的其他用于职业教育的经费。</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各级人民政府应将农村科学技术开发、技术推广经费的百分之十至百分之二十用于农村职业教育。</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城市教育费附加、人民教育基金应当安排不低于百分之十的比例用于支持职业教育。</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企业未按《中华人民共和国职业教育法》第二十条的规定实施职业教育的，由县级以上人民政府责令改正；拒不改正的，按照有关规定收取该企业职工工资总额千分之五的职业教育经费，用于本地区的职业教育。收费办法由省人民政府另行</w:t>
      </w:r>
      <w:r>
        <w:rPr>
          <w:rFonts w:ascii="仿宋_GB2312" w:eastAsia="仿宋_GB2312" w:hAnsi="仿宋_GB2312" w:cs="仿宋_GB2312" w:hint="eastAsia"/>
        </w:rPr>
        <w:t>制定。</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职业学校、职业培训机构可以对接受中等、高等职业学校教育和职业培训的学生适当收取学费，对经济困难的学生和残疾学生应当酌情减免。收费项目和收费标准由省人民政府制定。</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鼓励职业学校发展校办产业。校办产业的收入主要用于改善办学条件。</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县级以上财政部门可以使用文教事业周转金，扶持职业学校的校办产业。</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县级以上人民政府及教育、人事、劳动行政部门应当加强职业教育教师队伍建设，做好职业教育专职教师培养、培训和职务评聘工作。</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职业学校专业课教</w:t>
      </w:r>
      <w:r>
        <w:rPr>
          <w:rFonts w:ascii="仿宋_GB2312" w:eastAsia="仿宋_GB2312" w:hAnsi="仿宋_GB2312" w:cs="仿宋_GB2312" w:hint="eastAsia"/>
        </w:rPr>
        <w:t>师队伍实行专职与兼职结合。有关部门应当支持职业学校聘请兼职教师。</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职业学校校长享受同级、同类型普通学校校长的同等待遇。</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高等院校应当承担职业教育教师的培养和培训任务。</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高等职业技术师范院校和其他普通高等院校开办的职业师范系、科、班，应按照国家和省有关规定对口招收一部分中等职业学校优秀毕业生。</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普通高等院校职业师资班学生享受师范生同等待遇。</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普通高等院校职业师资班毕业生须按照任教服务期制度和有关规定到职业学校任教，任何单位不得截留。</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县级</w:t>
      </w:r>
      <w:r>
        <w:rPr>
          <w:rFonts w:ascii="仿宋_GB2312" w:eastAsia="仿宋_GB2312" w:hAnsi="仿宋_GB2312" w:cs="仿宋_GB2312" w:hint="eastAsia"/>
        </w:rPr>
        <w:t>以上教育行政部门和有关部门应当建立职业教育教师和干部培训、进修制度。职业学校应当有计划地选派教师进修和培训，不断提高教师业务素质。</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实行劳动者就业前或者上岗前接受必要的职业教育的制度。用人单位应当首先从职业学校毕业生和二年以上学制的职业培训班结业生中择优录用。</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对国家实行就业准入控制的技术工种，须取得相应的职业资格证书后方能就业、上岗；对从事特种作业的劳动者，须取得特</w:t>
      </w:r>
      <w:r>
        <w:rPr>
          <w:rFonts w:ascii="仿宋_GB2312" w:eastAsia="仿宋_GB2312" w:hAnsi="仿宋_GB2312" w:cs="仿宋_GB2312" w:hint="eastAsia"/>
        </w:rPr>
        <w:lastRenderedPageBreak/>
        <w:t>种作业资格后方能上岗作业。</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同一学历层次职业学校的毕业生，在参军、升学、参加招收公务员考试</w:t>
      </w:r>
      <w:r>
        <w:rPr>
          <w:rFonts w:ascii="仿宋_GB2312" w:eastAsia="仿宋_GB2312" w:hAnsi="仿宋_GB2312" w:cs="仿宋_GB2312" w:hint="eastAsia"/>
        </w:rPr>
        <w:t>、聘干时，具有相同的资格，在就业和待遇上按国家和省有关规定执行。</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各级人事、劳动行政部门应当引导职业学校毕业生通过人才、劳动力市场就业。</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对于自愿组织起来就业、自谋职业和回乡从事农业生产的职业学校毕业生，当地人民政府及有关部门应按有关规定给予扶持。</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各级各类职业学校毕业生按照国家和省的有关规定，可以升入高一级的学校学习。</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各级教育行政部门和有关部门应当积极创造条件，为职业学校毕业生开辟继续学习和深造的途径。</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高等职业院校招生应当主要面向中等</w:t>
      </w:r>
      <w:r>
        <w:rPr>
          <w:rFonts w:ascii="仿宋_GB2312" w:eastAsia="仿宋_GB2312" w:hAnsi="仿宋_GB2312" w:cs="仿宋_GB2312" w:hint="eastAsia"/>
        </w:rPr>
        <w:t>职业学校毕业生。</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各级人民政府及主管部门对在职业教育中做出显著成绩的单位和个人应给予表彰和奖励。</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违反本办法第四条规定，以举办职业教育为名，骗取财物，违法牟利的，由教育行政部门或者劳动行政部门予以取缔，没收其违法所得，并处以违法所得一倍以上三倍以下罚款；构成犯罪的，依法追究刑事责任。</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违反本办法第八条规定，未经批准擅自举办职业学校和职业培训机构的，由教育行政部门或者劳动行政部门予以撤销，有违法所得的，没收其违法所得，并追究直接负责的主</w:t>
      </w:r>
      <w:r>
        <w:rPr>
          <w:rFonts w:ascii="仿宋_GB2312" w:eastAsia="仿宋_GB2312" w:hAnsi="仿宋_GB2312" w:cs="仿宋_GB2312" w:hint="eastAsia"/>
        </w:rPr>
        <w:lastRenderedPageBreak/>
        <w:t>管人员和</w:t>
      </w:r>
      <w:r>
        <w:rPr>
          <w:rFonts w:ascii="仿宋_GB2312" w:eastAsia="仿宋_GB2312" w:hAnsi="仿宋_GB2312" w:cs="仿宋_GB2312" w:hint="eastAsia"/>
        </w:rPr>
        <w:t>其他直接责任人员的责任；造成学生经济损失的，由擅自举办职业学校和职业培训机构的单位或个人负责赔偿。</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违反国家有关规定，颁发学历证书、培训证书和职业资格证书的，由教育行政部门或者劳动行政部门宣布证书无效，责令收回或予以没收；有违法所得的，没收违法所得；情节严重的，取消其颁发证书的资格。</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违反本办法第十九条规定，擅自截留高等院校职业师资班毕业生的，对直接负责的主管人员和其他直接责任人员视其情节给予通报批评或行政处分。</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当事人对行政处罚决定不服的，可</w:t>
      </w:r>
      <w:r>
        <w:rPr>
          <w:rFonts w:ascii="仿宋_GB2312" w:eastAsia="仿宋_GB2312" w:hAnsi="仿宋_GB2312" w:cs="仿宋_GB2312" w:hint="eastAsia"/>
        </w:rPr>
        <w:t>依法申请行政复议或者提起行政诉讼。</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本办法的具体应用问题，由省人民政府负责解释。</w:t>
      </w:r>
    </w:p>
    <w:p w:rsidR="00000000" w:rsidRDefault="00B074B6">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本办法自</w:t>
      </w:r>
      <w:r>
        <w:rPr>
          <w:rFonts w:ascii="仿宋_GB2312" w:eastAsia="仿宋_GB2312" w:hAnsi="仿宋_GB2312" w:cs="仿宋_GB2312" w:hint="eastAsia"/>
        </w:rPr>
        <w:t>1997</w:t>
      </w:r>
      <w:r>
        <w:rPr>
          <w:rFonts w:ascii="仿宋_GB2312" w:eastAsia="仿宋_GB2312" w:hAnsi="仿宋_GB2312" w:cs="仿宋_GB2312" w:hint="eastAsia"/>
        </w:rPr>
        <w:t>年</w:t>
      </w:r>
      <w:r>
        <w:rPr>
          <w:rFonts w:ascii="仿宋_GB2312" w:eastAsia="仿宋_GB2312" w:hAnsi="仿宋_GB2312" w:cs="仿宋_GB2312" w:hint="eastAsia"/>
        </w:rPr>
        <w:t>9</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p w:rsidR="00B074B6" w:rsidRDefault="00B074B6">
      <w:pPr>
        <w:rPr>
          <w:rFonts w:ascii="仿宋_GB2312" w:eastAsia="仿宋_GB2312" w:hAnsi="仿宋_GB2312" w:cs="仿宋_GB2312" w:hint="eastAsia"/>
        </w:rPr>
      </w:pPr>
    </w:p>
    <w:sectPr w:rsidR="00B074B6">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4B6" w:rsidRDefault="00B074B6">
      <w:r>
        <w:separator/>
      </w:r>
    </w:p>
  </w:endnote>
  <w:endnote w:type="continuationSeparator" w:id="0">
    <w:p w:rsidR="00B074B6" w:rsidRDefault="00B074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074B6">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B074B6">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553489">
                  <w:rPr>
                    <w:rFonts w:ascii="宋体" w:eastAsia="宋体" w:hAnsi="宋体" w:cs="宋体"/>
                    <w:noProof/>
                    <w:sz w:val="28"/>
                    <w:szCs w:val="28"/>
                  </w:rPr>
                  <w:t>7</w:t>
                </w:r>
                <w:r>
                  <w:rPr>
                    <w:rFonts w:ascii="宋体" w:eastAsia="宋体" w:hAnsi="宋体" w:cs="宋体" w:hint="eastAsia"/>
                    <w:sz w:val="28"/>
                    <w:szCs w:val="28"/>
                  </w:rPr>
                  <w:fldChar w:fldCharType="end"/>
                </w:r>
                <w:r>
                  <w:rPr>
                    <w:rFonts w:ascii="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4B6" w:rsidRDefault="00B074B6">
      <w:r>
        <w:separator/>
      </w:r>
    </w:p>
  </w:footnote>
  <w:footnote w:type="continuationSeparator" w:id="0">
    <w:p w:rsidR="00B074B6" w:rsidRDefault="00B074B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56A3040"/>
    <w:rsid w:val="00553489"/>
    <w:rsid w:val="00B074B6"/>
    <w:rsid w:val="03075BC9"/>
    <w:rsid w:val="07CB711C"/>
    <w:rsid w:val="156A3040"/>
    <w:rsid w:val="28B4734A"/>
    <w:rsid w:val="74DF00BC"/>
    <w:rsid w:val="7D9A67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
      <w:kern w:val="2"/>
      <w:sz w:val="32"/>
      <w:szCs w:val="22"/>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508</Words>
  <Characters>2902</Characters>
  <Application>Microsoft Office Word</Application>
  <DocSecurity>0</DocSecurity>
  <PresentationFormat/>
  <Lines>24</Lines>
  <Paragraphs>6</Paragraphs>
  <Slides>0</Slides>
  <Notes>0</Notes>
  <HiddenSlides>0</HiddenSlides>
  <MMClips>0</MMClips>
  <ScaleCrop>false</ScaleCrop>
  <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2017-01-09T09:00:00Z</dcterms:created>
  <dcterms:modified xsi:type="dcterms:W3CDTF">2017-01-09T09:00:00Z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