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8C1" w:rsidRPr="008A4131" w:rsidRDefault="00BB08C1" w:rsidP="00BB08C1">
      <w:pPr>
        <w:spacing w:line="600" w:lineRule="exact"/>
        <w:rPr>
          <w:rFonts w:eastAsia="仿宋_GB2312" w:hint="eastAsia"/>
          <w:sz w:val="32"/>
          <w:szCs w:val="32"/>
        </w:rPr>
      </w:pPr>
    </w:p>
    <w:p w:rsidR="00BB08C1" w:rsidRPr="008A4131" w:rsidRDefault="00BB08C1" w:rsidP="00BB08C1">
      <w:pPr>
        <w:spacing w:line="600" w:lineRule="exact"/>
        <w:jc w:val="center"/>
        <w:rPr>
          <w:rFonts w:hint="eastAsia"/>
          <w:sz w:val="44"/>
          <w:szCs w:val="44"/>
        </w:rPr>
      </w:pPr>
      <w:r w:rsidRPr="008A4131">
        <w:rPr>
          <w:rFonts w:hAnsi="宋体" w:hint="eastAsia"/>
          <w:sz w:val="44"/>
          <w:szCs w:val="44"/>
        </w:rPr>
        <w:t>河池市民间传世铜鼓保护条例</w:t>
      </w:r>
    </w:p>
    <w:p w:rsidR="00BB08C1" w:rsidRPr="008A4131" w:rsidRDefault="00BB08C1" w:rsidP="00BB08C1">
      <w:pPr>
        <w:spacing w:line="600" w:lineRule="exact"/>
        <w:rPr>
          <w:rFonts w:eastAsia="仿宋_GB2312" w:hint="eastAsia"/>
          <w:sz w:val="32"/>
          <w:szCs w:val="32"/>
        </w:rPr>
      </w:pPr>
    </w:p>
    <w:p w:rsidR="00BB08C1" w:rsidRPr="008A4131" w:rsidRDefault="00BB08C1" w:rsidP="00BB08C1">
      <w:pPr>
        <w:spacing w:line="600" w:lineRule="exact"/>
        <w:ind w:leftChars="313" w:left="657" w:rightChars="285" w:right="598"/>
        <w:rPr>
          <w:rFonts w:eastAsia="楷体_GB2312" w:hint="eastAsia"/>
          <w:sz w:val="32"/>
          <w:szCs w:val="32"/>
        </w:rPr>
      </w:pPr>
      <w:r w:rsidRPr="008A4131">
        <w:rPr>
          <w:rFonts w:eastAsia="楷体_GB2312" w:hint="eastAsia"/>
          <w:sz w:val="32"/>
          <w:szCs w:val="32"/>
        </w:rPr>
        <w:t>（</w:t>
      </w:r>
      <w:r w:rsidRPr="008A4131">
        <w:rPr>
          <w:rFonts w:eastAsia="楷体_GB2312" w:hint="eastAsia"/>
          <w:sz w:val="32"/>
          <w:szCs w:val="32"/>
        </w:rPr>
        <w:t>2019</w:t>
      </w:r>
      <w:r w:rsidRPr="008A4131">
        <w:rPr>
          <w:rFonts w:eastAsia="楷体_GB2312" w:hint="eastAsia"/>
          <w:sz w:val="32"/>
          <w:szCs w:val="32"/>
        </w:rPr>
        <w:t>年</w:t>
      </w:r>
      <w:r w:rsidRPr="008A4131">
        <w:rPr>
          <w:rFonts w:eastAsia="楷体_GB2312" w:hint="eastAsia"/>
          <w:sz w:val="32"/>
          <w:szCs w:val="32"/>
        </w:rPr>
        <w:t>8</w:t>
      </w:r>
      <w:r w:rsidRPr="008A4131">
        <w:rPr>
          <w:rFonts w:eastAsia="楷体_GB2312" w:hint="eastAsia"/>
          <w:sz w:val="32"/>
          <w:szCs w:val="32"/>
        </w:rPr>
        <w:t>月</w:t>
      </w:r>
      <w:r w:rsidRPr="008A4131">
        <w:rPr>
          <w:rFonts w:eastAsia="楷体_GB2312" w:hint="eastAsia"/>
          <w:sz w:val="32"/>
          <w:szCs w:val="32"/>
        </w:rPr>
        <w:t>30</w:t>
      </w:r>
      <w:r w:rsidRPr="008A4131">
        <w:rPr>
          <w:rFonts w:eastAsia="楷体_GB2312" w:hint="eastAsia"/>
          <w:sz w:val="32"/>
          <w:szCs w:val="32"/>
        </w:rPr>
        <w:t>日河池市第四届人民代表大会常务委员会第二十四次会议通过</w:t>
      </w:r>
    </w:p>
    <w:p w:rsidR="00BB08C1" w:rsidRPr="008A4131" w:rsidRDefault="00BB08C1" w:rsidP="00BB08C1">
      <w:pPr>
        <w:spacing w:line="600" w:lineRule="exact"/>
        <w:ind w:leftChars="313" w:left="657" w:rightChars="285" w:right="598"/>
        <w:rPr>
          <w:rFonts w:eastAsia="楷体_GB2312" w:hint="eastAsia"/>
          <w:sz w:val="32"/>
          <w:szCs w:val="32"/>
        </w:rPr>
      </w:pPr>
      <w:r w:rsidRPr="008A4131">
        <w:rPr>
          <w:rFonts w:eastAsia="楷体_GB2312" w:hint="eastAsia"/>
          <w:sz w:val="32"/>
          <w:szCs w:val="32"/>
        </w:rPr>
        <w:t>2019</w:t>
      </w:r>
      <w:r w:rsidRPr="008A4131">
        <w:rPr>
          <w:rFonts w:eastAsia="楷体_GB2312" w:hint="eastAsia"/>
          <w:sz w:val="32"/>
          <w:szCs w:val="32"/>
        </w:rPr>
        <w:t>年</w:t>
      </w:r>
      <w:r w:rsidRPr="008A4131">
        <w:rPr>
          <w:rFonts w:eastAsia="楷体_GB2312" w:hint="eastAsia"/>
          <w:sz w:val="32"/>
          <w:szCs w:val="32"/>
        </w:rPr>
        <w:t>11</w:t>
      </w:r>
      <w:r w:rsidRPr="008A4131">
        <w:rPr>
          <w:rFonts w:eastAsia="楷体_GB2312" w:hint="eastAsia"/>
          <w:sz w:val="32"/>
          <w:szCs w:val="32"/>
        </w:rPr>
        <w:t>月</w:t>
      </w:r>
      <w:r w:rsidRPr="008A4131">
        <w:rPr>
          <w:rFonts w:eastAsia="楷体_GB2312" w:hint="eastAsia"/>
          <w:sz w:val="32"/>
          <w:szCs w:val="32"/>
        </w:rPr>
        <w:t>29</w:t>
      </w:r>
      <w:r w:rsidRPr="008A4131">
        <w:rPr>
          <w:rFonts w:eastAsia="楷体_GB2312" w:hint="eastAsia"/>
          <w:sz w:val="32"/>
          <w:szCs w:val="32"/>
        </w:rPr>
        <w:t>日广西壮族自治区第十三届人民代表大会常务委员会第十二次会议批准）</w:t>
      </w:r>
    </w:p>
    <w:p w:rsidR="00BB08C1" w:rsidRPr="008A4131" w:rsidRDefault="00BB08C1" w:rsidP="00BB08C1">
      <w:pPr>
        <w:spacing w:line="600" w:lineRule="exact"/>
        <w:rPr>
          <w:rFonts w:eastAsia="仿宋_GB2312" w:hint="eastAsia"/>
          <w:sz w:val="32"/>
          <w:szCs w:val="32"/>
        </w:rPr>
      </w:pPr>
    </w:p>
    <w:p w:rsidR="00BB08C1" w:rsidRPr="008A4131" w:rsidRDefault="00BB08C1" w:rsidP="00BB08C1">
      <w:pPr>
        <w:spacing w:line="600" w:lineRule="exact"/>
        <w:jc w:val="center"/>
        <w:rPr>
          <w:rFonts w:eastAsia="楷体_GB2312" w:hint="eastAsia"/>
          <w:sz w:val="32"/>
          <w:szCs w:val="32"/>
        </w:rPr>
      </w:pPr>
      <w:r w:rsidRPr="008A4131">
        <w:rPr>
          <w:rFonts w:eastAsia="楷体_GB2312" w:hint="eastAsia"/>
          <w:sz w:val="32"/>
          <w:szCs w:val="32"/>
        </w:rPr>
        <w:t>目</w:t>
      </w:r>
      <w:r w:rsidRPr="008A4131">
        <w:rPr>
          <w:rFonts w:eastAsia="楷体_GB2312" w:hint="eastAsia"/>
          <w:sz w:val="32"/>
          <w:szCs w:val="32"/>
        </w:rPr>
        <w:t xml:space="preserve">    </w:t>
      </w:r>
      <w:r w:rsidRPr="008A4131">
        <w:rPr>
          <w:rFonts w:eastAsia="楷体_GB2312" w:hint="eastAsia"/>
          <w:sz w:val="32"/>
          <w:szCs w:val="32"/>
        </w:rPr>
        <w:t>录</w:t>
      </w:r>
    </w:p>
    <w:p w:rsidR="00BB08C1" w:rsidRPr="008A4131" w:rsidRDefault="00BB08C1" w:rsidP="00BB08C1">
      <w:pPr>
        <w:spacing w:line="600" w:lineRule="exact"/>
        <w:jc w:val="center"/>
        <w:rPr>
          <w:rFonts w:eastAsia="楷体_GB2312" w:hint="eastAsia"/>
          <w:sz w:val="32"/>
          <w:szCs w:val="32"/>
        </w:rPr>
      </w:pPr>
    </w:p>
    <w:p w:rsidR="00BB08C1" w:rsidRPr="008A4131" w:rsidRDefault="00BB08C1" w:rsidP="00BB08C1">
      <w:pPr>
        <w:spacing w:line="600" w:lineRule="exact"/>
        <w:rPr>
          <w:rFonts w:eastAsia="楷体_GB2312" w:hint="eastAsia"/>
          <w:sz w:val="32"/>
          <w:szCs w:val="32"/>
        </w:rPr>
      </w:pPr>
      <w:r w:rsidRPr="008A4131">
        <w:rPr>
          <w:rFonts w:eastAsia="楷体_GB2312" w:hint="eastAsia"/>
          <w:sz w:val="32"/>
          <w:szCs w:val="32"/>
        </w:rPr>
        <w:t xml:space="preserve">　　第一章</w:t>
      </w:r>
      <w:r w:rsidRPr="008A4131">
        <w:rPr>
          <w:rFonts w:eastAsia="楷体_GB2312" w:hint="eastAsia"/>
          <w:sz w:val="32"/>
          <w:szCs w:val="32"/>
        </w:rPr>
        <w:t xml:space="preserve">  </w:t>
      </w:r>
      <w:r w:rsidRPr="008A4131">
        <w:rPr>
          <w:rFonts w:eastAsia="楷体_GB2312" w:hint="eastAsia"/>
          <w:sz w:val="32"/>
          <w:szCs w:val="32"/>
        </w:rPr>
        <w:t>总则</w:t>
      </w:r>
    </w:p>
    <w:p w:rsidR="00BB08C1" w:rsidRPr="008A4131" w:rsidRDefault="00BB08C1" w:rsidP="00BB08C1">
      <w:pPr>
        <w:spacing w:line="600" w:lineRule="exact"/>
        <w:rPr>
          <w:rFonts w:eastAsia="楷体_GB2312" w:hint="eastAsia"/>
          <w:sz w:val="32"/>
          <w:szCs w:val="32"/>
        </w:rPr>
      </w:pPr>
      <w:r w:rsidRPr="008A4131">
        <w:rPr>
          <w:rFonts w:eastAsia="楷体_GB2312" w:hint="eastAsia"/>
          <w:sz w:val="32"/>
          <w:szCs w:val="32"/>
        </w:rPr>
        <w:t xml:space="preserve">　　第二章</w:t>
      </w:r>
      <w:r w:rsidRPr="008A4131">
        <w:rPr>
          <w:rFonts w:eastAsia="楷体_GB2312" w:hint="eastAsia"/>
          <w:sz w:val="32"/>
          <w:szCs w:val="32"/>
        </w:rPr>
        <w:t xml:space="preserve">  </w:t>
      </w:r>
      <w:r w:rsidRPr="008A4131">
        <w:rPr>
          <w:rFonts w:eastAsia="楷体_GB2312" w:hint="eastAsia"/>
          <w:sz w:val="32"/>
          <w:szCs w:val="32"/>
        </w:rPr>
        <w:t>保护与管理</w:t>
      </w:r>
    </w:p>
    <w:p w:rsidR="00BB08C1" w:rsidRPr="008A4131" w:rsidRDefault="00BB08C1" w:rsidP="00BB08C1">
      <w:pPr>
        <w:spacing w:line="600" w:lineRule="exact"/>
        <w:rPr>
          <w:rFonts w:eastAsia="楷体_GB2312" w:hint="eastAsia"/>
          <w:sz w:val="32"/>
          <w:szCs w:val="32"/>
        </w:rPr>
      </w:pPr>
      <w:r w:rsidRPr="008A4131">
        <w:rPr>
          <w:rFonts w:eastAsia="楷体_GB2312" w:hint="eastAsia"/>
          <w:sz w:val="32"/>
          <w:szCs w:val="32"/>
        </w:rPr>
        <w:t xml:space="preserve">　　第三章</w:t>
      </w:r>
      <w:r w:rsidRPr="008A4131">
        <w:rPr>
          <w:rFonts w:eastAsia="楷体_GB2312" w:hint="eastAsia"/>
          <w:sz w:val="32"/>
          <w:szCs w:val="32"/>
        </w:rPr>
        <w:t xml:space="preserve">  </w:t>
      </w:r>
      <w:r w:rsidRPr="008A4131">
        <w:rPr>
          <w:rFonts w:eastAsia="楷体_GB2312" w:hint="eastAsia"/>
          <w:sz w:val="32"/>
          <w:szCs w:val="32"/>
        </w:rPr>
        <w:t>传承与利用</w:t>
      </w:r>
    </w:p>
    <w:p w:rsidR="00BB08C1" w:rsidRPr="008A4131" w:rsidRDefault="00BB08C1" w:rsidP="00BB08C1">
      <w:pPr>
        <w:spacing w:line="600" w:lineRule="exact"/>
        <w:rPr>
          <w:rFonts w:eastAsia="楷体_GB2312" w:hint="eastAsia"/>
          <w:sz w:val="32"/>
          <w:szCs w:val="32"/>
        </w:rPr>
      </w:pPr>
      <w:r w:rsidRPr="008A4131">
        <w:rPr>
          <w:rFonts w:eastAsia="楷体_GB2312" w:hint="eastAsia"/>
          <w:sz w:val="32"/>
          <w:szCs w:val="32"/>
        </w:rPr>
        <w:t xml:space="preserve">　　第四章</w:t>
      </w:r>
      <w:r w:rsidRPr="008A4131">
        <w:rPr>
          <w:rFonts w:eastAsia="楷体_GB2312" w:hint="eastAsia"/>
          <w:sz w:val="32"/>
          <w:szCs w:val="32"/>
        </w:rPr>
        <w:t xml:space="preserve">  </w:t>
      </w:r>
      <w:r w:rsidRPr="008A4131">
        <w:rPr>
          <w:rFonts w:eastAsia="楷体_GB2312" w:hint="eastAsia"/>
          <w:sz w:val="32"/>
          <w:szCs w:val="32"/>
        </w:rPr>
        <w:t>法律责任</w:t>
      </w:r>
    </w:p>
    <w:p w:rsidR="00BB08C1" w:rsidRPr="008A4131" w:rsidRDefault="00BB08C1" w:rsidP="00BB08C1">
      <w:pPr>
        <w:spacing w:line="600" w:lineRule="exact"/>
        <w:rPr>
          <w:rFonts w:eastAsia="楷体_GB2312" w:hint="eastAsia"/>
          <w:sz w:val="32"/>
          <w:szCs w:val="32"/>
        </w:rPr>
      </w:pPr>
      <w:r w:rsidRPr="008A4131">
        <w:rPr>
          <w:rFonts w:eastAsia="楷体_GB2312" w:hint="eastAsia"/>
          <w:sz w:val="32"/>
          <w:szCs w:val="32"/>
        </w:rPr>
        <w:t xml:space="preserve">　　第五章</w:t>
      </w:r>
      <w:r w:rsidRPr="008A4131">
        <w:rPr>
          <w:rFonts w:eastAsia="楷体_GB2312" w:hint="eastAsia"/>
          <w:sz w:val="32"/>
          <w:szCs w:val="32"/>
        </w:rPr>
        <w:t xml:space="preserve">  </w:t>
      </w:r>
      <w:r w:rsidRPr="008A4131">
        <w:rPr>
          <w:rFonts w:eastAsia="楷体_GB2312" w:hint="eastAsia"/>
          <w:sz w:val="32"/>
          <w:szCs w:val="32"/>
        </w:rPr>
        <w:t>附则</w:t>
      </w:r>
    </w:p>
    <w:p w:rsidR="00BB08C1" w:rsidRPr="008A4131" w:rsidRDefault="00BB08C1" w:rsidP="00BB08C1">
      <w:pPr>
        <w:spacing w:line="600" w:lineRule="exact"/>
        <w:rPr>
          <w:rFonts w:eastAsia="仿宋_GB2312" w:hint="eastAsia"/>
          <w:sz w:val="32"/>
          <w:szCs w:val="32"/>
        </w:rPr>
      </w:pPr>
    </w:p>
    <w:p w:rsidR="00BB08C1" w:rsidRPr="008A4131" w:rsidRDefault="00BB08C1" w:rsidP="00BB08C1">
      <w:pPr>
        <w:spacing w:line="600" w:lineRule="exact"/>
        <w:jc w:val="center"/>
        <w:rPr>
          <w:rFonts w:eastAsia="黑体" w:hint="eastAsia"/>
          <w:sz w:val="32"/>
          <w:szCs w:val="32"/>
        </w:rPr>
      </w:pPr>
      <w:r w:rsidRPr="008A4131">
        <w:rPr>
          <w:rFonts w:eastAsia="黑体" w:hAnsi="黑体" w:hint="eastAsia"/>
          <w:sz w:val="32"/>
          <w:szCs w:val="32"/>
        </w:rPr>
        <w:t>第一章</w:t>
      </w:r>
      <w:r w:rsidRPr="008A4131">
        <w:rPr>
          <w:rFonts w:eastAsia="黑体" w:hint="eastAsia"/>
          <w:sz w:val="32"/>
          <w:szCs w:val="32"/>
        </w:rPr>
        <w:t xml:space="preserve">  </w:t>
      </w:r>
      <w:r w:rsidRPr="008A4131">
        <w:rPr>
          <w:rFonts w:eastAsia="黑体" w:hAnsi="黑体" w:hint="eastAsia"/>
          <w:sz w:val="32"/>
          <w:szCs w:val="32"/>
        </w:rPr>
        <w:t>总则</w:t>
      </w:r>
    </w:p>
    <w:p w:rsidR="00BB08C1" w:rsidRPr="008A4131" w:rsidRDefault="00BB08C1" w:rsidP="00BB08C1">
      <w:pPr>
        <w:spacing w:line="600" w:lineRule="exact"/>
        <w:rPr>
          <w:rFonts w:eastAsia="黑体" w:hint="eastAsia"/>
          <w:sz w:val="32"/>
          <w:szCs w:val="32"/>
        </w:rPr>
      </w:pPr>
    </w:p>
    <w:p w:rsidR="00BB08C1" w:rsidRPr="008A4131" w:rsidRDefault="00BB08C1" w:rsidP="00BB08C1">
      <w:pPr>
        <w:spacing w:line="600" w:lineRule="exact"/>
        <w:rPr>
          <w:rFonts w:eastAsia="仿宋_GB2312" w:hint="eastAsia"/>
          <w:sz w:val="32"/>
          <w:szCs w:val="32"/>
        </w:rPr>
      </w:pPr>
      <w:r w:rsidRPr="008A4131">
        <w:rPr>
          <w:rFonts w:eastAsia="黑体" w:hAnsi="黑体" w:hint="eastAsia"/>
          <w:sz w:val="32"/>
          <w:szCs w:val="32"/>
        </w:rPr>
        <w:t xml:space="preserve">　　第一条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为了加强对民间传世铜鼓的保护，继承民族优秀的历史文化遗产，根据《中华人民共和国文物保护法》《中华人民共和国非物质文化遗产法》《广西壮族自治区文物保护条例》等法律、法规，结合本市实际，制定本条例。</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第二条</w:t>
      </w:r>
      <w:r w:rsidRPr="008A4131">
        <w:rPr>
          <w:rFonts w:eastAsia="仿宋_GB2312" w:hint="eastAsia"/>
          <w:sz w:val="32"/>
          <w:szCs w:val="32"/>
        </w:rPr>
        <w:t xml:space="preserve">  </w:t>
      </w:r>
      <w:r w:rsidRPr="008A4131">
        <w:rPr>
          <w:rFonts w:eastAsia="仿宋_GB2312" w:hint="eastAsia"/>
          <w:sz w:val="32"/>
          <w:szCs w:val="32"/>
        </w:rPr>
        <w:t>本市行政区域内民间传世铜鼓的保护、利用、</w:t>
      </w:r>
      <w:r w:rsidRPr="008A4131">
        <w:rPr>
          <w:rFonts w:eastAsia="仿宋_GB2312" w:hint="eastAsia"/>
          <w:sz w:val="32"/>
          <w:szCs w:val="32"/>
        </w:rPr>
        <w:lastRenderedPageBreak/>
        <w:t>管理、传承等活动适用本条例。</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第三条</w:t>
      </w:r>
      <w:r w:rsidRPr="008A4131">
        <w:rPr>
          <w:rFonts w:eastAsia="仿宋_GB2312" w:hint="eastAsia"/>
          <w:sz w:val="32"/>
          <w:szCs w:val="32"/>
        </w:rPr>
        <w:t xml:space="preserve">  </w:t>
      </w:r>
      <w:r w:rsidRPr="008A4131">
        <w:rPr>
          <w:rFonts w:eastAsia="仿宋_GB2312" w:hint="eastAsia"/>
          <w:sz w:val="32"/>
          <w:szCs w:val="32"/>
        </w:rPr>
        <w:t>本条例所称的民间传世铜鼓，是指</w:t>
      </w:r>
      <w:r w:rsidRPr="008A4131">
        <w:rPr>
          <w:rFonts w:eastAsia="仿宋_GB2312" w:hint="eastAsia"/>
          <w:sz w:val="32"/>
          <w:szCs w:val="32"/>
        </w:rPr>
        <w:t>1949</w:t>
      </w:r>
      <w:r w:rsidRPr="008A4131">
        <w:rPr>
          <w:rFonts w:eastAsia="仿宋_GB2312" w:hint="eastAsia"/>
          <w:sz w:val="32"/>
          <w:szCs w:val="32"/>
        </w:rPr>
        <w:t>年以前铸造并留存于民间世代传承的具有历史、艺术、科学等价值的铜鼓。</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第四条</w:t>
      </w:r>
      <w:r w:rsidRPr="008A4131">
        <w:rPr>
          <w:rFonts w:eastAsia="仿宋_GB2312" w:hint="eastAsia"/>
          <w:sz w:val="32"/>
          <w:szCs w:val="32"/>
        </w:rPr>
        <w:t xml:space="preserve">  </w:t>
      </w:r>
      <w:r w:rsidRPr="008A4131">
        <w:rPr>
          <w:rFonts w:eastAsia="仿宋_GB2312" w:hint="eastAsia"/>
          <w:sz w:val="32"/>
          <w:szCs w:val="32"/>
        </w:rPr>
        <w:t>民间传世铜鼓保护工作贯彻保护为主、合理利用、加强管理、传承发展的方针。</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第五条</w:t>
      </w:r>
      <w:r w:rsidRPr="008A4131">
        <w:rPr>
          <w:rFonts w:eastAsia="仿宋_GB2312" w:hint="eastAsia"/>
          <w:sz w:val="32"/>
          <w:szCs w:val="32"/>
        </w:rPr>
        <w:t xml:space="preserve">  </w:t>
      </w:r>
      <w:r w:rsidRPr="008A4131">
        <w:rPr>
          <w:rFonts w:eastAsia="仿宋_GB2312" w:hint="eastAsia"/>
          <w:sz w:val="32"/>
          <w:szCs w:val="32"/>
        </w:rPr>
        <w:t>市、县（区）人民政府负责本行政区域民间传世铜鼓保护工作，将民间传世铜鼓保护工作纳入文化发展规划，所需经费列入本级预算。</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乡（镇）人民政府应当指定工作人员负责民间传世铜鼓保护工作。</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第六条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市、县（区）人民政府文化行政部门是本行政区域民间传世铜鼓保护的主管部门，负责本行政区域内民间传世铜鼓的普查、认定、保护及监督管理等工作：</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（一）制定和实施民间传世铜鼓保护、利用、传承等规划和计划；</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（二）负责民间传世铜鼓普查、认定，形成保护名录并报送上级主管部门和同级公安机关备案；</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（三）为民间传世铜鼓的保护、利用、传承、修复等提供指导和服务。</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第七条</w:t>
      </w:r>
      <w:r w:rsidRPr="008A4131">
        <w:rPr>
          <w:rFonts w:eastAsia="仿宋_GB2312" w:hint="eastAsia"/>
          <w:sz w:val="32"/>
          <w:szCs w:val="32"/>
        </w:rPr>
        <w:t xml:space="preserve">  </w:t>
      </w:r>
      <w:r w:rsidRPr="008A4131">
        <w:rPr>
          <w:rFonts w:eastAsia="仿宋_GB2312" w:hint="eastAsia"/>
          <w:sz w:val="32"/>
          <w:szCs w:val="32"/>
        </w:rPr>
        <w:t>市、县（区）人民政府有关部门应当在各自职责范围内加强对民间传世铜鼓的保护、利用和监督管理。</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教育、科技、民族宗教等部门应当配合主管部门开展民</w:t>
      </w:r>
      <w:r w:rsidRPr="008A4131">
        <w:rPr>
          <w:rFonts w:eastAsia="仿宋_GB2312" w:hint="eastAsia"/>
          <w:sz w:val="32"/>
          <w:szCs w:val="32"/>
        </w:rPr>
        <w:lastRenderedPageBreak/>
        <w:t>间传世铜鼓的文化宣传、知识普及、人才培训、科学研究及传承利用等工作；</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公安、市场监督管理等部门应当配合主管部门监督管理，及时查处盗窃、走私、破坏民间传世铜鼓等违法行为。</w:t>
      </w:r>
    </w:p>
    <w:p w:rsidR="00BB08C1" w:rsidRDefault="00BB08C1" w:rsidP="00BB08C1">
      <w:pPr>
        <w:spacing w:line="600" w:lineRule="exact"/>
        <w:ind w:firstLine="648"/>
        <w:rPr>
          <w:rFonts w:eastAsia="仿宋_GB2312" w:hint="eastAsia"/>
          <w:sz w:val="32"/>
          <w:szCs w:val="32"/>
        </w:rPr>
      </w:pPr>
      <w:r w:rsidRPr="008A4131">
        <w:rPr>
          <w:rFonts w:eastAsia="黑体" w:hAnsi="黑体" w:hint="eastAsia"/>
          <w:sz w:val="32"/>
          <w:szCs w:val="32"/>
        </w:rPr>
        <w:t>第八条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任何单位和个人有依法保护民间传世铜鼓的义务，并有检举、控告和制止盗窃、走私以及破坏民间传世铜鼓行为的权利。</w:t>
      </w:r>
    </w:p>
    <w:p w:rsidR="00BB08C1" w:rsidRPr="008A4131" w:rsidRDefault="00BB08C1" w:rsidP="00BB08C1">
      <w:pPr>
        <w:spacing w:line="600" w:lineRule="exact"/>
        <w:ind w:firstLine="648"/>
        <w:rPr>
          <w:rFonts w:eastAsia="仿宋_GB2312" w:hint="eastAsia"/>
          <w:sz w:val="32"/>
          <w:szCs w:val="32"/>
        </w:rPr>
      </w:pPr>
      <w:r w:rsidRPr="0090344A">
        <w:rPr>
          <w:rFonts w:ascii="黑体" w:eastAsia="黑体" w:hAnsi="黑体" w:hint="eastAsia"/>
          <w:sz w:val="32"/>
          <w:szCs w:val="32"/>
        </w:rPr>
        <w:t>第九条</w:t>
      </w:r>
      <w:r w:rsidRPr="008A4131">
        <w:rPr>
          <w:rFonts w:eastAsia="仿宋_GB2312" w:hint="eastAsia"/>
          <w:sz w:val="32"/>
          <w:szCs w:val="32"/>
        </w:rPr>
        <w:t xml:space="preserve">  </w:t>
      </w:r>
      <w:r w:rsidRPr="008A4131">
        <w:rPr>
          <w:rFonts w:eastAsia="仿宋_GB2312" w:hint="eastAsia"/>
          <w:sz w:val="32"/>
          <w:szCs w:val="32"/>
        </w:rPr>
        <w:t>市、县（区）人民政府应当对发现、保护、传承民间传世铜鼓</w:t>
      </w:r>
      <w:proofErr w:type="gramStart"/>
      <w:r w:rsidRPr="008A4131">
        <w:rPr>
          <w:rFonts w:eastAsia="仿宋_GB2312" w:hint="eastAsia"/>
          <w:sz w:val="32"/>
          <w:szCs w:val="32"/>
        </w:rPr>
        <w:t>作出</w:t>
      </w:r>
      <w:proofErr w:type="gramEnd"/>
      <w:r w:rsidRPr="008A4131">
        <w:rPr>
          <w:rFonts w:eastAsia="仿宋_GB2312" w:hint="eastAsia"/>
          <w:sz w:val="32"/>
          <w:szCs w:val="32"/>
        </w:rPr>
        <w:t>显著成绩和贡献的单位或者个人给予奖励。</w:t>
      </w:r>
    </w:p>
    <w:p w:rsidR="00BB08C1" w:rsidRPr="008A4131" w:rsidRDefault="00BB08C1" w:rsidP="00BB08C1">
      <w:pPr>
        <w:spacing w:line="600" w:lineRule="exact"/>
        <w:rPr>
          <w:rFonts w:eastAsia="黑体" w:hint="eastAsia"/>
          <w:sz w:val="32"/>
          <w:szCs w:val="32"/>
        </w:rPr>
      </w:pPr>
    </w:p>
    <w:p w:rsidR="00BB08C1" w:rsidRPr="008A4131" w:rsidRDefault="00BB08C1" w:rsidP="00BB08C1">
      <w:pPr>
        <w:spacing w:line="600" w:lineRule="exact"/>
        <w:jc w:val="center"/>
        <w:rPr>
          <w:rFonts w:eastAsia="黑体" w:hint="eastAsia"/>
          <w:sz w:val="32"/>
          <w:szCs w:val="32"/>
        </w:rPr>
      </w:pPr>
      <w:r w:rsidRPr="008A4131">
        <w:rPr>
          <w:rFonts w:eastAsia="黑体" w:hAnsi="黑体" w:hint="eastAsia"/>
          <w:sz w:val="32"/>
          <w:szCs w:val="32"/>
        </w:rPr>
        <w:t>第二章</w:t>
      </w:r>
      <w:r w:rsidRPr="008A4131">
        <w:rPr>
          <w:rFonts w:eastAsia="黑体" w:hint="eastAsia"/>
          <w:sz w:val="32"/>
          <w:szCs w:val="32"/>
        </w:rPr>
        <w:t xml:space="preserve">  </w:t>
      </w:r>
      <w:r w:rsidRPr="008A4131">
        <w:rPr>
          <w:rFonts w:eastAsia="黑体" w:hAnsi="黑体" w:hint="eastAsia"/>
          <w:sz w:val="32"/>
          <w:szCs w:val="32"/>
        </w:rPr>
        <w:t>保护与管理</w:t>
      </w:r>
    </w:p>
    <w:p w:rsidR="00BB08C1" w:rsidRPr="008A4131" w:rsidRDefault="00BB08C1" w:rsidP="00BB08C1">
      <w:pPr>
        <w:spacing w:line="600" w:lineRule="exact"/>
        <w:rPr>
          <w:rFonts w:eastAsia="黑体" w:hint="eastAsia"/>
          <w:sz w:val="32"/>
          <w:szCs w:val="32"/>
        </w:rPr>
      </w:pPr>
    </w:p>
    <w:p w:rsidR="00BB08C1" w:rsidRPr="008A4131" w:rsidRDefault="00BB08C1" w:rsidP="00BB08C1">
      <w:pPr>
        <w:spacing w:line="600" w:lineRule="exact"/>
        <w:rPr>
          <w:rFonts w:eastAsia="仿宋_GB2312" w:hint="eastAsia"/>
          <w:sz w:val="32"/>
          <w:szCs w:val="32"/>
        </w:rPr>
      </w:pPr>
      <w:r w:rsidRPr="008A4131">
        <w:rPr>
          <w:rFonts w:eastAsia="黑体" w:hAnsi="黑体" w:hint="eastAsia"/>
          <w:sz w:val="32"/>
          <w:szCs w:val="32"/>
        </w:rPr>
        <w:t xml:space="preserve">　　第十条</w:t>
      </w:r>
      <w:r w:rsidRPr="008A4131">
        <w:rPr>
          <w:rFonts w:eastAsia="黑体" w:hint="eastAsia"/>
          <w:sz w:val="32"/>
          <w:szCs w:val="32"/>
        </w:rPr>
        <w:t xml:space="preserve">  </w:t>
      </w:r>
      <w:r w:rsidRPr="008A4131">
        <w:rPr>
          <w:rFonts w:eastAsia="仿宋_GB2312" w:hint="eastAsia"/>
          <w:sz w:val="32"/>
          <w:szCs w:val="32"/>
        </w:rPr>
        <w:t>市、县（区）人民政府应当在本条例施行后组织开展民间传世铜鼓普查、认定工作，建立保护名录，由市人民政府文化行政部门颁发收藏证书。此后每五年开展一次。</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普查、认定的标准和办法，由市人民政府文化行政部门制定。</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第十一条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开展民间传世铜鼓普查，应当采用文字、图片、录像、录音、数字化多媒体等方式，详实、系统记录民间传世铜鼓的种类、数量、分布和保护等状况，建立档案和数据库，编制保护规划，制定保护措施。</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第十二条</w:t>
      </w:r>
      <w:r w:rsidRPr="008A4131">
        <w:rPr>
          <w:rFonts w:eastAsia="仿宋_GB2312" w:hint="eastAsia"/>
          <w:sz w:val="32"/>
          <w:szCs w:val="32"/>
        </w:rPr>
        <w:t xml:space="preserve">  </w:t>
      </w:r>
      <w:r w:rsidRPr="008A4131">
        <w:rPr>
          <w:rFonts w:eastAsia="仿宋_GB2312" w:hint="eastAsia"/>
          <w:sz w:val="32"/>
          <w:szCs w:val="32"/>
        </w:rPr>
        <w:t>县（区）人民政府应当对列入保护名录的民</w:t>
      </w:r>
      <w:r w:rsidRPr="008A4131">
        <w:rPr>
          <w:rFonts w:eastAsia="仿宋_GB2312" w:hint="eastAsia"/>
          <w:sz w:val="32"/>
          <w:szCs w:val="32"/>
        </w:rPr>
        <w:lastRenderedPageBreak/>
        <w:t>间传世铜鼓，按照每年每面不低于三百元的标准给予所有权人发放保护补助经费。</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第十三条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民间传世铜鼓所有权人享有占有、使用、收益、处分等权利，但不得在使用时扰民、损害公民的合法权益和身心健康。</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第十四条</w:t>
      </w:r>
      <w:r w:rsidRPr="008A4131">
        <w:rPr>
          <w:rFonts w:eastAsia="黑体" w:hint="eastAsia"/>
          <w:sz w:val="32"/>
          <w:szCs w:val="32"/>
        </w:rPr>
        <w:t xml:space="preserve">  </w:t>
      </w:r>
      <w:r w:rsidRPr="008A4131">
        <w:rPr>
          <w:rFonts w:eastAsia="仿宋_GB2312" w:hint="eastAsia"/>
          <w:sz w:val="32"/>
          <w:szCs w:val="32"/>
        </w:rPr>
        <w:t>鼓励所有权人对民间传世铜鼓申请文物认定，经认定为珍贵文物级别的，认定所需费用由县（区）人民政府承担。</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第十五条</w:t>
      </w:r>
      <w:r w:rsidRPr="008A4131">
        <w:rPr>
          <w:rFonts w:eastAsia="黑体" w:hint="eastAsia"/>
          <w:sz w:val="32"/>
          <w:szCs w:val="32"/>
        </w:rPr>
        <w:t xml:space="preserve">  </w:t>
      </w:r>
      <w:r w:rsidRPr="008A4131">
        <w:rPr>
          <w:rFonts w:eastAsia="仿宋_GB2312" w:hint="eastAsia"/>
          <w:sz w:val="32"/>
          <w:szCs w:val="32"/>
        </w:rPr>
        <w:t>县（区）人民政府应当通过购买、新</w:t>
      </w:r>
      <w:proofErr w:type="gramStart"/>
      <w:r w:rsidRPr="008A4131">
        <w:rPr>
          <w:rFonts w:eastAsia="仿宋_GB2312" w:hint="eastAsia"/>
          <w:sz w:val="32"/>
          <w:szCs w:val="32"/>
        </w:rPr>
        <w:t>鼓换旧鼓</w:t>
      </w:r>
      <w:proofErr w:type="gramEnd"/>
      <w:r w:rsidRPr="008A4131">
        <w:rPr>
          <w:rFonts w:eastAsia="仿宋_GB2312" w:hint="eastAsia"/>
          <w:sz w:val="32"/>
          <w:szCs w:val="32"/>
        </w:rPr>
        <w:t>等征集方式，收藏已经破损且无法使用的民间传世铜鼓，由文化行政部门保存、展览，组织开展研究。</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第十六条</w:t>
      </w:r>
      <w:r w:rsidRPr="008A4131">
        <w:rPr>
          <w:rFonts w:eastAsia="仿宋_GB2312" w:hint="eastAsia"/>
          <w:sz w:val="32"/>
          <w:szCs w:val="32"/>
        </w:rPr>
        <w:t xml:space="preserve">  </w:t>
      </w:r>
      <w:r w:rsidRPr="008A4131">
        <w:rPr>
          <w:rFonts w:eastAsia="仿宋_GB2312" w:hint="eastAsia"/>
          <w:sz w:val="32"/>
          <w:szCs w:val="32"/>
        </w:rPr>
        <w:t>鼓励公民、法人及其他组织将其收藏的民间传世铜鼓捐赠国有文物收藏单位。对捐赠者，由同级人民政府颁发荣誉证书。</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国有文物收藏单位应当尊重并按照捐赠人的意愿，对捐赠的民间传世铜鼓妥善收藏和展示。</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第十七条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所有权人将其收藏的民间传世铜鼓出借给单位或者个人的，借入方应当妥善保管、使用，按期归还。借用期内造成损坏或者被盗的，借入方应当承担民事责任。</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第十八条</w:t>
      </w:r>
      <w:r w:rsidRPr="008A4131">
        <w:rPr>
          <w:rFonts w:eastAsia="仿宋_GB2312" w:hint="eastAsia"/>
          <w:sz w:val="32"/>
          <w:szCs w:val="32"/>
        </w:rPr>
        <w:t xml:space="preserve">  </w:t>
      </w:r>
      <w:r w:rsidRPr="008A4131">
        <w:rPr>
          <w:rFonts w:eastAsia="仿宋_GB2312" w:hint="eastAsia"/>
          <w:sz w:val="32"/>
          <w:szCs w:val="32"/>
        </w:rPr>
        <w:t>列入保护名录的民间传世铜鼓因转让、赠与、交换等变更所有权人的，原所有权人应当</w:t>
      </w:r>
      <w:proofErr w:type="gramStart"/>
      <w:r w:rsidRPr="008A4131">
        <w:rPr>
          <w:rFonts w:eastAsia="仿宋_GB2312" w:hint="eastAsia"/>
          <w:sz w:val="32"/>
          <w:szCs w:val="32"/>
        </w:rPr>
        <w:t>持双方</w:t>
      </w:r>
      <w:proofErr w:type="gramEnd"/>
      <w:r w:rsidRPr="008A4131">
        <w:rPr>
          <w:rFonts w:eastAsia="仿宋_GB2312" w:hint="eastAsia"/>
          <w:sz w:val="32"/>
          <w:szCs w:val="32"/>
        </w:rPr>
        <w:t>身份证明、协议和原收藏证书等材料，到县（区）人民政府文化行政部门办理变更手续。</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lastRenderedPageBreak/>
        <w:t xml:space="preserve">　　</w:t>
      </w:r>
      <w:r w:rsidRPr="008A4131">
        <w:rPr>
          <w:rFonts w:eastAsia="黑体" w:hAnsi="黑体" w:hint="eastAsia"/>
          <w:sz w:val="32"/>
          <w:szCs w:val="32"/>
        </w:rPr>
        <w:t>第十九条</w:t>
      </w:r>
      <w:r w:rsidRPr="008A4131">
        <w:rPr>
          <w:rFonts w:eastAsia="仿宋_GB2312" w:hint="eastAsia"/>
          <w:sz w:val="32"/>
          <w:szCs w:val="32"/>
        </w:rPr>
        <w:t xml:space="preserve">  </w:t>
      </w:r>
      <w:r w:rsidRPr="008A4131">
        <w:rPr>
          <w:rFonts w:eastAsia="仿宋_GB2312" w:hint="eastAsia"/>
          <w:sz w:val="32"/>
          <w:szCs w:val="32"/>
        </w:rPr>
        <w:t>列入保护名录的民间传世铜鼓需要出境的，应当向县（区）人民政府文化行政部门报告，并依法向文物进出境审核机构、海关办理出境手续。</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第二十条</w:t>
      </w:r>
      <w:r w:rsidRPr="008A4131">
        <w:rPr>
          <w:rFonts w:eastAsia="仿宋_GB2312" w:hint="eastAsia"/>
          <w:sz w:val="32"/>
          <w:szCs w:val="32"/>
        </w:rPr>
        <w:t xml:space="preserve">  </w:t>
      </w:r>
      <w:r w:rsidRPr="008A4131">
        <w:rPr>
          <w:rFonts w:eastAsia="仿宋_GB2312" w:hint="eastAsia"/>
          <w:sz w:val="32"/>
          <w:szCs w:val="32"/>
        </w:rPr>
        <w:t>单位或者</w:t>
      </w:r>
      <w:proofErr w:type="gramStart"/>
      <w:r w:rsidRPr="008A4131">
        <w:rPr>
          <w:rFonts w:eastAsia="仿宋_GB2312" w:hint="eastAsia"/>
          <w:sz w:val="32"/>
          <w:szCs w:val="32"/>
        </w:rPr>
        <w:t>个</w:t>
      </w:r>
      <w:proofErr w:type="gramEnd"/>
      <w:r w:rsidRPr="008A4131">
        <w:rPr>
          <w:rFonts w:eastAsia="仿宋_GB2312" w:hint="eastAsia"/>
          <w:sz w:val="32"/>
          <w:szCs w:val="32"/>
        </w:rPr>
        <w:t>人为制作出版物、音像制品，拍摄电影电视、拓片以及开展文化艺术交流等活动使用列入保护名录的民间传世铜鼓的，应当出具采取保护措施的书面承诺，并在使用前五个工作日内报县（区）人民政府文化行政部门备案。</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第二十一条</w:t>
      </w:r>
      <w:r w:rsidRPr="008A4131">
        <w:rPr>
          <w:rFonts w:eastAsia="黑体" w:hint="eastAsia"/>
          <w:sz w:val="32"/>
          <w:szCs w:val="32"/>
        </w:rPr>
        <w:t xml:space="preserve">  </w:t>
      </w:r>
      <w:r w:rsidRPr="008A4131">
        <w:rPr>
          <w:rFonts w:eastAsia="仿宋_GB2312" w:hint="eastAsia"/>
          <w:sz w:val="32"/>
          <w:szCs w:val="32"/>
        </w:rPr>
        <w:t>市、县（区）人民政府应当对民间传世铜鼓比较集中、铜鼓文化氛围比较浓厚的乡（镇）、村，实行区域性保护。区域性保护管理规定，由市人民政府文化行政部门制定。</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申报民间传世铜鼓区域性保护乡（镇）、村应当具备以下条件：</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（一）民间传世铜鼓收藏较集中；</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（二）民间传世铜鼓仍在节庆活动中使用；</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（三）成立民间传世铜鼓所有权人管理组织；</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（四）民间传世铜鼓所有权人接受文化行政部门管理。</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第二十二条</w:t>
      </w:r>
      <w:r w:rsidRPr="008A4131">
        <w:rPr>
          <w:rFonts w:eastAsia="仿宋_GB2312" w:hint="eastAsia"/>
          <w:sz w:val="32"/>
          <w:szCs w:val="32"/>
        </w:rPr>
        <w:t xml:space="preserve">  </w:t>
      </w:r>
      <w:r w:rsidRPr="008A4131">
        <w:rPr>
          <w:rFonts w:eastAsia="仿宋_GB2312" w:hint="eastAsia"/>
          <w:sz w:val="32"/>
          <w:szCs w:val="32"/>
        </w:rPr>
        <w:t>申报民间传世铜鼓区域性保护的乡（镇）、村，由所在乡（镇）人民政府向县（区）人民政府文化行政部门提出，经组织专家评审并公示后，由县（区）人民政府报市人民政府批准命名为民间传世铜鼓重点保护乡（镇）、村。</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lastRenderedPageBreak/>
        <w:t xml:space="preserve">　　</w:t>
      </w:r>
      <w:r w:rsidRPr="008A4131">
        <w:rPr>
          <w:rFonts w:eastAsia="黑体" w:hAnsi="黑体" w:hint="eastAsia"/>
          <w:sz w:val="32"/>
          <w:szCs w:val="32"/>
        </w:rPr>
        <w:t>第二十三条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县（区）人民政府应当对命名为民间传世铜鼓重点保护乡（镇）、村给予政策、资金等方面优惠和扶持，一次性给予乡（镇）不低于三十万元、村不低于十万元的民间传世铜鼓活动场馆建设的资金支持；对举办展示、展演活动的重点保护乡（镇）、村给予一定的资金补助。</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第二十四条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列入民间传世铜鼓区域性保护的乡（镇）、村应当结合当地民俗、节庆举办民间传世铜鼓展示、展演等活动。</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第二十五条</w:t>
      </w:r>
      <w:r w:rsidRPr="008A4131">
        <w:rPr>
          <w:rFonts w:eastAsia="黑体" w:hint="eastAsia"/>
          <w:sz w:val="32"/>
          <w:szCs w:val="32"/>
        </w:rPr>
        <w:t xml:space="preserve">  </w:t>
      </w:r>
      <w:r w:rsidRPr="008A4131">
        <w:rPr>
          <w:rFonts w:eastAsia="仿宋_GB2312" w:hint="eastAsia"/>
          <w:sz w:val="32"/>
          <w:szCs w:val="32"/>
        </w:rPr>
        <w:t>鼓励和支持公民、法人及其他组织建设民间传世铜鼓博物馆、展示馆、传习馆等场馆。</w:t>
      </w:r>
    </w:p>
    <w:p w:rsidR="00BB08C1" w:rsidRDefault="00BB08C1" w:rsidP="00BB08C1">
      <w:pPr>
        <w:spacing w:line="600" w:lineRule="exact"/>
        <w:rPr>
          <w:rFonts w:eastAsia="黑体" w:hAnsi="黑体" w:hint="eastAsia"/>
          <w:sz w:val="32"/>
          <w:szCs w:val="32"/>
        </w:rPr>
      </w:pPr>
    </w:p>
    <w:p w:rsidR="00BB08C1" w:rsidRDefault="00BB08C1" w:rsidP="00BB08C1">
      <w:pPr>
        <w:spacing w:line="600" w:lineRule="exact"/>
        <w:jc w:val="center"/>
        <w:rPr>
          <w:rFonts w:eastAsia="黑体" w:hAnsi="黑体" w:hint="eastAsia"/>
          <w:sz w:val="32"/>
          <w:szCs w:val="32"/>
        </w:rPr>
      </w:pPr>
      <w:r w:rsidRPr="008A4131">
        <w:rPr>
          <w:rFonts w:eastAsia="黑体" w:hAnsi="黑体" w:hint="eastAsia"/>
          <w:sz w:val="32"/>
          <w:szCs w:val="32"/>
        </w:rPr>
        <w:t>第三章</w:t>
      </w:r>
      <w:r>
        <w:rPr>
          <w:rFonts w:eastAsia="黑体" w:hAnsi="黑体" w:hint="eastAsia"/>
          <w:sz w:val="32"/>
          <w:szCs w:val="32"/>
        </w:rPr>
        <w:t xml:space="preserve">  </w:t>
      </w:r>
      <w:r w:rsidRPr="008A4131">
        <w:rPr>
          <w:rFonts w:eastAsia="黑体" w:hAnsi="黑体" w:hint="eastAsia"/>
          <w:sz w:val="32"/>
          <w:szCs w:val="32"/>
        </w:rPr>
        <w:t>传承与利用</w:t>
      </w:r>
    </w:p>
    <w:p w:rsidR="00BB08C1" w:rsidRPr="008A4131" w:rsidRDefault="00BB08C1" w:rsidP="00BB08C1">
      <w:pPr>
        <w:spacing w:line="600" w:lineRule="exact"/>
        <w:rPr>
          <w:rFonts w:eastAsia="黑体" w:hint="eastAsia"/>
          <w:sz w:val="32"/>
          <w:szCs w:val="32"/>
        </w:rPr>
      </w:pPr>
    </w:p>
    <w:p w:rsidR="00BB08C1" w:rsidRPr="008A4131" w:rsidRDefault="00BB08C1" w:rsidP="00BB08C1">
      <w:pPr>
        <w:spacing w:line="600" w:lineRule="exact"/>
        <w:rPr>
          <w:rFonts w:eastAsia="仿宋_GB2312" w:hint="eastAsia"/>
          <w:sz w:val="32"/>
          <w:szCs w:val="32"/>
        </w:rPr>
      </w:pPr>
      <w:r w:rsidRPr="008A4131">
        <w:rPr>
          <w:rFonts w:eastAsia="黑体" w:hAnsi="黑体" w:hint="eastAsia"/>
          <w:sz w:val="32"/>
          <w:szCs w:val="32"/>
        </w:rPr>
        <w:t xml:space="preserve">　　第二十六条</w:t>
      </w:r>
      <w:r w:rsidRPr="008A4131">
        <w:rPr>
          <w:rFonts w:eastAsia="仿宋_GB2312" w:hint="eastAsia"/>
          <w:sz w:val="32"/>
          <w:szCs w:val="32"/>
        </w:rPr>
        <w:t xml:space="preserve">  </w:t>
      </w:r>
      <w:r w:rsidRPr="008A4131">
        <w:rPr>
          <w:rFonts w:eastAsia="仿宋_GB2312" w:hint="eastAsia"/>
          <w:sz w:val="32"/>
          <w:szCs w:val="32"/>
        </w:rPr>
        <w:t>市、县（区）人民政府文化行政部门应当结合节庆、会展、民间习俗，组织开展民间传世铜鼓文化展示、展演、交流等活动。</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第二十七条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列入保护名录的民间传世铜鼓所有权人，应当参与当地政府部门组织的相关活动。</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第二十八条</w:t>
      </w:r>
      <w:r w:rsidRPr="008A4131">
        <w:rPr>
          <w:rFonts w:eastAsia="仿宋_GB2312" w:hint="eastAsia"/>
          <w:sz w:val="32"/>
          <w:szCs w:val="32"/>
        </w:rPr>
        <w:t xml:space="preserve">  </w:t>
      </w:r>
      <w:r w:rsidRPr="008A4131">
        <w:rPr>
          <w:rFonts w:eastAsia="仿宋_GB2312" w:hint="eastAsia"/>
          <w:sz w:val="32"/>
          <w:szCs w:val="32"/>
        </w:rPr>
        <w:t>所有权人根据个人意愿，可以将列入保护名录的民间传世铜鼓传给多个或者单个传承人。</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第二十九条</w:t>
      </w:r>
      <w:r w:rsidRPr="008A4131">
        <w:rPr>
          <w:rFonts w:eastAsia="仿宋_GB2312" w:hint="eastAsia"/>
          <w:sz w:val="32"/>
          <w:szCs w:val="32"/>
        </w:rPr>
        <w:t xml:space="preserve">  </w:t>
      </w:r>
      <w:r w:rsidRPr="008A4131">
        <w:rPr>
          <w:rFonts w:eastAsia="仿宋_GB2312" w:hint="eastAsia"/>
          <w:sz w:val="32"/>
          <w:szCs w:val="32"/>
        </w:rPr>
        <w:t>鼓励传承人授徒、传艺，培养技艺新人，参与相关展示、展演、交流等活动。</w:t>
      </w:r>
    </w:p>
    <w:p w:rsidR="00BB08C1" w:rsidRPr="008A4131" w:rsidRDefault="00BB08C1" w:rsidP="00BB08C1">
      <w:pPr>
        <w:spacing w:line="600" w:lineRule="exact"/>
        <w:rPr>
          <w:rFonts w:eastAsia="仿宋_GB2312" w:hint="eastAsia"/>
          <w:sz w:val="32"/>
          <w:szCs w:val="32"/>
        </w:rPr>
      </w:pPr>
      <w:r w:rsidRPr="008A4131">
        <w:rPr>
          <w:rFonts w:eastAsia="仿宋_GB2312" w:hint="eastAsia"/>
          <w:sz w:val="32"/>
          <w:szCs w:val="32"/>
        </w:rPr>
        <w:t xml:space="preserve">　　鼓励文化机构、学校、科研单位及社会组织、个人等开</w:t>
      </w:r>
      <w:r w:rsidRPr="008A4131">
        <w:rPr>
          <w:rFonts w:eastAsia="仿宋_GB2312" w:hint="eastAsia"/>
          <w:sz w:val="32"/>
          <w:szCs w:val="32"/>
        </w:rPr>
        <w:lastRenderedPageBreak/>
        <w:t>办民间传世铜鼓文化传承班。</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第三十条</w:t>
      </w:r>
      <w:r w:rsidRPr="008A4131">
        <w:rPr>
          <w:rFonts w:eastAsia="仿宋_GB2312" w:hint="eastAsia"/>
          <w:sz w:val="32"/>
          <w:szCs w:val="32"/>
        </w:rPr>
        <w:t xml:space="preserve">  </w:t>
      </w:r>
      <w:r w:rsidRPr="008A4131">
        <w:rPr>
          <w:rFonts w:eastAsia="仿宋_GB2312" w:hint="eastAsia"/>
          <w:sz w:val="32"/>
          <w:szCs w:val="32"/>
        </w:rPr>
        <w:t>民间传世铜鼓参加展示、展演、交流活动的，举办方应当给予民间传世铜鼓所有权人相应的报酬。</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第三十一条</w:t>
      </w:r>
      <w:r w:rsidRPr="008A4131">
        <w:rPr>
          <w:rFonts w:eastAsia="仿宋_GB2312" w:hint="eastAsia"/>
          <w:sz w:val="32"/>
          <w:szCs w:val="32"/>
        </w:rPr>
        <w:t xml:space="preserve">  </w:t>
      </w:r>
      <w:r w:rsidRPr="008A4131">
        <w:rPr>
          <w:rFonts w:eastAsia="仿宋_GB2312" w:hint="eastAsia"/>
          <w:sz w:val="32"/>
          <w:szCs w:val="32"/>
        </w:rPr>
        <w:t>市、县（区）人民政府文化行政部门应当组织民间传世铜鼓文化交流，并通过与其他文化机构、高等院校或者科研机构合作等方式，开展民间传世铜鼓保护与利用、科学研究、文化传承等活动。</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第三十二条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鼓励和支持公民、法人及其他组织通过捐赠等方式支持、参与民间传世铜鼓保护与利用、科学研究、文化传承等活动，提高民间传世铜鼓保护利用水平。</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第三十三条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市、县（区）人民政府应当把民间传世铜鼓保护利用与文化旅游业发展结合起来，加大扶持力度，对列入区域性保护乡（镇）、村进行开发利用，助</w:t>
      </w:r>
      <w:proofErr w:type="gramStart"/>
      <w:r w:rsidRPr="008A4131">
        <w:rPr>
          <w:rFonts w:eastAsia="仿宋_GB2312" w:hint="eastAsia"/>
          <w:sz w:val="32"/>
          <w:szCs w:val="32"/>
        </w:rPr>
        <w:t>推当地</w:t>
      </w:r>
      <w:proofErr w:type="gramEnd"/>
      <w:r w:rsidRPr="008A4131">
        <w:rPr>
          <w:rFonts w:eastAsia="仿宋_GB2312" w:hint="eastAsia"/>
          <w:sz w:val="32"/>
          <w:szCs w:val="32"/>
        </w:rPr>
        <w:t>经济发展。</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鼓励、支持文化旅游企业、景区景点开发民间传世铜鼓文化特色旅游项目。</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第三十四条</w:t>
      </w:r>
      <w:r w:rsidRPr="008A4131">
        <w:rPr>
          <w:rFonts w:eastAsia="黑体" w:hint="eastAsia"/>
          <w:sz w:val="32"/>
          <w:szCs w:val="32"/>
        </w:rPr>
        <w:t xml:space="preserve">  </w:t>
      </w:r>
      <w:r w:rsidRPr="008A4131">
        <w:rPr>
          <w:rFonts w:eastAsia="仿宋_GB2312" w:hint="eastAsia"/>
          <w:sz w:val="32"/>
          <w:szCs w:val="32"/>
        </w:rPr>
        <w:t>市、县（区）人民政府应当利用报刊、广播、电视、网络等媒体，加强民间传世铜鼓保护、传承的宣传教育工作，增强全社会的保护意识。</w:t>
      </w:r>
    </w:p>
    <w:p w:rsidR="00BB08C1" w:rsidRDefault="00BB08C1" w:rsidP="00BB08C1">
      <w:pPr>
        <w:spacing w:line="580" w:lineRule="exact"/>
        <w:ind w:firstLine="648"/>
        <w:rPr>
          <w:rFonts w:eastAsia="仿宋_GB2312" w:hint="eastAsia"/>
          <w:sz w:val="32"/>
          <w:szCs w:val="32"/>
        </w:rPr>
      </w:pPr>
      <w:r w:rsidRPr="008A4131">
        <w:rPr>
          <w:rFonts w:eastAsia="仿宋_GB2312" w:hint="eastAsia"/>
          <w:sz w:val="32"/>
          <w:szCs w:val="32"/>
        </w:rPr>
        <w:t>每年</w:t>
      </w:r>
      <w:r w:rsidRPr="008A4131">
        <w:rPr>
          <w:rFonts w:eastAsia="仿宋_GB2312" w:hint="eastAsia"/>
          <w:sz w:val="32"/>
          <w:szCs w:val="32"/>
        </w:rPr>
        <w:t>6</w:t>
      </w:r>
      <w:r w:rsidRPr="008A4131">
        <w:rPr>
          <w:rFonts w:eastAsia="仿宋_GB2312" w:hint="eastAsia"/>
          <w:sz w:val="32"/>
          <w:szCs w:val="32"/>
        </w:rPr>
        <w:t>月，应当结合文化和自然遗产日，组织开展民间传世铜鼓保护宣传活动。</w:t>
      </w:r>
    </w:p>
    <w:p w:rsidR="00BB08C1" w:rsidRPr="00E75392" w:rsidRDefault="00BB08C1" w:rsidP="00BB08C1">
      <w:pPr>
        <w:spacing w:line="580" w:lineRule="exact"/>
        <w:ind w:firstLine="648"/>
        <w:rPr>
          <w:rFonts w:eastAsia="仿宋_GB2312" w:hint="eastAsia"/>
          <w:sz w:val="32"/>
          <w:szCs w:val="32"/>
        </w:rPr>
      </w:pPr>
    </w:p>
    <w:p w:rsidR="00BB08C1" w:rsidRDefault="00BB08C1" w:rsidP="00BB08C1">
      <w:pPr>
        <w:spacing w:line="580" w:lineRule="exact"/>
        <w:jc w:val="center"/>
        <w:rPr>
          <w:rFonts w:eastAsia="黑体" w:hAnsi="黑体" w:hint="eastAsia"/>
          <w:sz w:val="32"/>
          <w:szCs w:val="32"/>
        </w:rPr>
      </w:pPr>
      <w:r w:rsidRPr="008A4131">
        <w:rPr>
          <w:rFonts w:eastAsia="黑体" w:hAnsi="黑体" w:hint="eastAsia"/>
          <w:sz w:val="32"/>
          <w:szCs w:val="32"/>
        </w:rPr>
        <w:t>第四章</w:t>
      </w:r>
      <w:r>
        <w:rPr>
          <w:rFonts w:eastAsia="黑体" w:hAnsi="黑体" w:hint="eastAsia"/>
          <w:sz w:val="32"/>
          <w:szCs w:val="32"/>
        </w:rPr>
        <w:t xml:space="preserve">  </w:t>
      </w:r>
      <w:r w:rsidRPr="008A4131">
        <w:rPr>
          <w:rFonts w:eastAsia="黑体" w:hAnsi="黑体" w:hint="eastAsia"/>
          <w:sz w:val="32"/>
          <w:szCs w:val="32"/>
        </w:rPr>
        <w:t>法律责任</w:t>
      </w:r>
    </w:p>
    <w:p w:rsidR="00BB08C1" w:rsidRPr="008A4131" w:rsidRDefault="00BB08C1" w:rsidP="00BB08C1">
      <w:pPr>
        <w:spacing w:line="580" w:lineRule="exact"/>
        <w:jc w:val="center"/>
        <w:rPr>
          <w:rFonts w:eastAsia="黑体" w:hint="eastAsia"/>
          <w:sz w:val="32"/>
          <w:szCs w:val="32"/>
        </w:rPr>
      </w:pP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lastRenderedPageBreak/>
        <w:t xml:space="preserve">　　</w:t>
      </w:r>
      <w:r w:rsidRPr="008A4131">
        <w:rPr>
          <w:rFonts w:eastAsia="黑体" w:hAnsi="黑体" w:hint="eastAsia"/>
          <w:sz w:val="32"/>
          <w:szCs w:val="32"/>
        </w:rPr>
        <w:t>第三十五条</w:t>
      </w:r>
      <w:r w:rsidRPr="008A4131">
        <w:rPr>
          <w:rFonts w:eastAsia="仿宋_GB2312" w:hint="eastAsia"/>
          <w:sz w:val="32"/>
          <w:szCs w:val="32"/>
        </w:rPr>
        <w:t xml:space="preserve">  </w:t>
      </w:r>
      <w:r w:rsidRPr="008A4131">
        <w:rPr>
          <w:rFonts w:eastAsia="仿宋_GB2312" w:hint="eastAsia"/>
          <w:sz w:val="32"/>
          <w:szCs w:val="32"/>
        </w:rPr>
        <w:t>违反本条例规定的行为，法律、法规已有法律责任规定的，从其规定。</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第三十六条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市、县（区）人民政府文化行政部门、相关部门未按照本条例第六条、第七条规定履行相应职责的，由本级人民政府按照公务员法、上级政府或者部门相关规定追究单位主要负责人责任。</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第三十七条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违反本条例第十三条规定，使用时扰民、损害公民的合法权益和身心健康，构成违反治安管理的行为的，由公安机关依照治安管理处罚法予以处罚。</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第三十八条</w:t>
      </w:r>
      <w:r w:rsidRPr="008A4131">
        <w:rPr>
          <w:rFonts w:eastAsia="仿宋_GB2312" w:hint="eastAsia"/>
          <w:sz w:val="32"/>
          <w:szCs w:val="32"/>
        </w:rPr>
        <w:t xml:space="preserve">  </w:t>
      </w:r>
      <w:r w:rsidRPr="008A4131">
        <w:rPr>
          <w:rFonts w:eastAsia="仿宋_GB2312" w:hint="eastAsia"/>
          <w:sz w:val="32"/>
          <w:szCs w:val="32"/>
        </w:rPr>
        <w:t>列入保护名录的民间传世铜鼓所有权人违反本条例第十八条规定，未办理变更手续的，由县（区）人民政府文化行政部门按每面铜鼓处三百元以上一千元以下罚款。</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第三十九条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违反本条例第十九条规定，未向县（区）人民政府文化行政部门报告的，由县（区）人民政府文化行政部门取消或者追缴当年经费补助。</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第四十条</w:t>
      </w:r>
      <w:r w:rsidRPr="008A4131">
        <w:rPr>
          <w:rFonts w:eastAsia="仿宋_GB2312" w:hint="eastAsia"/>
          <w:sz w:val="32"/>
          <w:szCs w:val="32"/>
        </w:rPr>
        <w:t xml:space="preserve">  </w:t>
      </w:r>
      <w:r w:rsidRPr="008A4131">
        <w:rPr>
          <w:rFonts w:eastAsia="仿宋_GB2312" w:hint="eastAsia"/>
          <w:sz w:val="32"/>
          <w:szCs w:val="32"/>
        </w:rPr>
        <w:t>违反本条例第二十条规定</w:t>
      </w:r>
      <w:r w:rsidRPr="000558E6">
        <w:rPr>
          <w:rFonts w:ascii="仿宋_GB2312" w:eastAsia="仿宋_GB2312" w:hint="eastAsia"/>
          <w:sz w:val="32"/>
          <w:szCs w:val="32"/>
        </w:rPr>
        <w:t>,</w:t>
      </w:r>
      <w:r w:rsidRPr="008A4131">
        <w:rPr>
          <w:rFonts w:eastAsia="仿宋_GB2312" w:hint="eastAsia"/>
          <w:sz w:val="32"/>
          <w:szCs w:val="32"/>
        </w:rPr>
        <w:t>未经申报备案的，由所在地县（区）人民政府文化行政部门责令改正。</w:t>
      </w:r>
    </w:p>
    <w:p w:rsidR="00BB08C1" w:rsidRPr="008A4131" w:rsidRDefault="00BB08C1" w:rsidP="00BB08C1">
      <w:pPr>
        <w:spacing w:line="580" w:lineRule="exact"/>
        <w:rPr>
          <w:rFonts w:eastAsia="仿宋_GB2312" w:hint="eastAsia"/>
          <w:sz w:val="32"/>
          <w:szCs w:val="32"/>
        </w:rPr>
      </w:pPr>
      <w:r w:rsidRPr="008A4131">
        <w:rPr>
          <w:rFonts w:eastAsia="仿宋_GB2312" w:hint="eastAsia"/>
          <w:sz w:val="32"/>
          <w:szCs w:val="32"/>
        </w:rPr>
        <w:t xml:space="preserve">　　</w:t>
      </w:r>
      <w:r w:rsidRPr="008A4131">
        <w:rPr>
          <w:rFonts w:eastAsia="黑体" w:hAnsi="黑体" w:hint="eastAsia"/>
          <w:sz w:val="32"/>
          <w:szCs w:val="32"/>
        </w:rPr>
        <w:t>第四十一条</w:t>
      </w:r>
      <w:r w:rsidRPr="008A4131">
        <w:rPr>
          <w:rFonts w:eastAsia="仿宋_GB2312" w:hint="eastAsia"/>
          <w:sz w:val="32"/>
          <w:szCs w:val="32"/>
        </w:rPr>
        <w:t xml:space="preserve">  </w:t>
      </w:r>
      <w:r w:rsidRPr="008A4131">
        <w:rPr>
          <w:rFonts w:eastAsia="仿宋_GB2312" w:hint="eastAsia"/>
          <w:sz w:val="32"/>
          <w:szCs w:val="32"/>
        </w:rPr>
        <w:t>负有监管职责的国家工作人员违反本条例规定，玩忽职守、弄虚作假、滥用职权、徇私舞弊的，依法给予处分；构成犯罪的，依法追究刑事责任。</w:t>
      </w:r>
    </w:p>
    <w:p w:rsidR="00BB08C1" w:rsidRPr="008A4131" w:rsidRDefault="00BB08C1" w:rsidP="00BB08C1">
      <w:pPr>
        <w:spacing w:line="580" w:lineRule="exact"/>
        <w:rPr>
          <w:rFonts w:eastAsia="仿宋_GB2312" w:hint="eastAsia"/>
          <w:sz w:val="32"/>
          <w:szCs w:val="32"/>
        </w:rPr>
      </w:pPr>
    </w:p>
    <w:p w:rsidR="00BB08C1" w:rsidRPr="008A4131" w:rsidRDefault="00BB08C1" w:rsidP="00BB08C1">
      <w:pPr>
        <w:spacing w:line="580" w:lineRule="exact"/>
        <w:jc w:val="center"/>
        <w:rPr>
          <w:rFonts w:eastAsia="黑体" w:hint="eastAsia"/>
          <w:sz w:val="32"/>
          <w:szCs w:val="32"/>
        </w:rPr>
      </w:pPr>
      <w:r w:rsidRPr="008A4131">
        <w:rPr>
          <w:rFonts w:eastAsia="黑体" w:hAnsi="黑体" w:hint="eastAsia"/>
          <w:sz w:val="32"/>
          <w:szCs w:val="32"/>
        </w:rPr>
        <w:t>第五章</w:t>
      </w:r>
      <w:r w:rsidRPr="008A4131">
        <w:rPr>
          <w:rFonts w:eastAsia="黑体" w:hint="eastAsia"/>
          <w:sz w:val="32"/>
          <w:szCs w:val="32"/>
        </w:rPr>
        <w:t xml:space="preserve">  </w:t>
      </w:r>
      <w:r w:rsidRPr="008A4131">
        <w:rPr>
          <w:rFonts w:eastAsia="黑体" w:hAnsi="黑体" w:hint="eastAsia"/>
          <w:sz w:val="32"/>
          <w:szCs w:val="32"/>
        </w:rPr>
        <w:t>附则</w:t>
      </w:r>
    </w:p>
    <w:p w:rsidR="00BB08C1" w:rsidRPr="008A4131" w:rsidRDefault="00BB08C1" w:rsidP="00BB08C1">
      <w:pPr>
        <w:spacing w:line="580" w:lineRule="exact"/>
        <w:rPr>
          <w:rFonts w:eastAsia="黑体" w:hint="eastAsia"/>
          <w:sz w:val="32"/>
          <w:szCs w:val="32"/>
        </w:rPr>
      </w:pPr>
    </w:p>
    <w:p w:rsidR="00BB08C1" w:rsidRPr="008A4131" w:rsidRDefault="00BB08C1" w:rsidP="00BB08C1">
      <w:pPr>
        <w:spacing w:line="580" w:lineRule="exact"/>
        <w:rPr>
          <w:rFonts w:eastAsia="仿宋_GB2312" w:hint="eastAsia"/>
          <w:sz w:val="32"/>
          <w:szCs w:val="32"/>
        </w:rPr>
      </w:pPr>
      <w:r w:rsidRPr="008A4131">
        <w:rPr>
          <w:rFonts w:eastAsia="黑体" w:hAnsi="黑体" w:hint="eastAsia"/>
          <w:sz w:val="32"/>
          <w:szCs w:val="32"/>
        </w:rPr>
        <w:lastRenderedPageBreak/>
        <w:t xml:space="preserve">　　第四十二条</w:t>
      </w:r>
      <w:r w:rsidRPr="008A4131">
        <w:rPr>
          <w:rFonts w:eastAsia="黑体" w:hint="eastAsia"/>
          <w:sz w:val="32"/>
          <w:szCs w:val="32"/>
        </w:rPr>
        <w:t xml:space="preserve"> </w:t>
      </w:r>
      <w:r w:rsidRPr="008A4131">
        <w:rPr>
          <w:rFonts w:eastAsia="仿宋_GB2312" w:hint="eastAsia"/>
          <w:sz w:val="32"/>
          <w:szCs w:val="32"/>
        </w:rPr>
        <w:t xml:space="preserve"> </w:t>
      </w:r>
      <w:r w:rsidRPr="008A4131">
        <w:rPr>
          <w:rFonts w:eastAsia="仿宋_GB2312" w:hint="eastAsia"/>
          <w:sz w:val="32"/>
          <w:szCs w:val="32"/>
        </w:rPr>
        <w:t>本条例自</w:t>
      </w:r>
      <w:r w:rsidRPr="008A4131">
        <w:rPr>
          <w:rFonts w:eastAsia="仿宋_GB2312" w:hint="eastAsia"/>
          <w:sz w:val="32"/>
          <w:szCs w:val="32"/>
        </w:rPr>
        <w:t>2020</w:t>
      </w:r>
      <w:r w:rsidRPr="008A4131">
        <w:rPr>
          <w:rFonts w:eastAsia="仿宋_GB2312" w:hint="eastAsia"/>
          <w:sz w:val="32"/>
          <w:szCs w:val="32"/>
        </w:rPr>
        <w:t>年</w:t>
      </w:r>
      <w:r w:rsidRPr="008A4131">
        <w:rPr>
          <w:rFonts w:eastAsia="仿宋_GB2312" w:hint="eastAsia"/>
          <w:sz w:val="32"/>
          <w:szCs w:val="32"/>
        </w:rPr>
        <w:t>1</w:t>
      </w:r>
      <w:r w:rsidRPr="008A4131">
        <w:rPr>
          <w:rFonts w:eastAsia="仿宋_GB2312" w:hint="eastAsia"/>
          <w:sz w:val="32"/>
          <w:szCs w:val="32"/>
        </w:rPr>
        <w:t>月</w:t>
      </w:r>
      <w:r w:rsidRPr="008A4131">
        <w:rPr>
          <w:rFonts w:eastAsia="仿宋_GB2312" w:hint="eastAsia"/>
          <w:sz w:val="32"/>
          <w:szCs w:val="32"/>
        </w:rPr>
        <w:t>1</w:t>
      </w:r>
      <w:r w:rsidRPr="008A4131">
        <w:rPr>
          <w:rFonts w:eastAsia="仿宋_GB2312" w:hint="eastAsia"/>
          <w:sz w:val="32"/>
          <w:szCs w:val="32"/>
        </w:rPr>
        <w:t>日起施行。</w:t>
      </w:r>
    </w:p>
    <w:p w:rsidR="002C0E51" w:rsidRPr="00BB08C1" w:rsidRDefault="002C0E51">
      <w:bookmarkStart w:id="0" w:name="_GoBack"/>
      <w:bookmarkEnd w:id="0"/>
    </w:p>
    <w:sectPr w:rsidR="002C0E51" w:rsidRPr="00BB08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987" w:rsidRDefault="00773987" w:rsidP="00BB08C1">
      <w:r>
        <w:separator/>
      </w:r>
    </w:p>
  </w:endnote>
  <w:endnote w:type="continuationSeparator" w:id="0">
    <w:p w:rsidR="00773987" w:rsidRDefault="00773987" w:rsidP="00BB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987" w:rsidRDefault="00773987" w:rsidP="00BB08C1">
      <w:r>
        <w:separator/>
      </w:r>
    </w:p>
  </w:footnote>
  <w:footnote w:type="continuationSeparator" w:id="0">
    <w:p w:rsidR="00773987" w:rsidRDefault="00773987" w:rsidP="00BB0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192"/>
    <w:rsid w:val="002C0E51"/>
    <w:rsid w:val="00773987"/>
    <w:rsid w:val="00BB08C1"/>
    <w:rsid w:val="00EC6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8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8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B08C1"/>
    <w:rPr>
      <w:sz w:val="18"/>
      <w:szCs w:val="18"/>
    </w:rPr>
  </w:style>
  <w:style w:type="paragraph" w:styleId="a4">
    <w:name w:val="footer"/>
    <w:basedOn w:val="a"/>
    <w:link w:val="Char0"/>
    <w:uiPriority w:val="99"/>
    <w:unhideWhenUsed/>
    <w:rsid w:val="00BB08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B08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8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8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B08C1"/>
    <w:rPr>
      <w:sz w:val="18"/>
      <w:szCs w:val="18"/>
    </w:rPr>
  </w:style>
  <w:style w:type="paragraph" w:styleId="a4">
    <w:name w:val="footer"/>
    <w:basedOn w:val="a"/>
    <w:link w:val="Char0"/>
    <w:uiPriority w:val="99"/>
    <w:unhideWhenUsed/>
    <w:rsid w:val="00BB08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B08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2020-01-09T03:26:00Z</dcterms:created>
  <dcterms:modified xsi:type="dcterms:W3CDTF">2020-01-09T03:27:00Z</dcterms:modified>
</cp:coreProperties>
</file>