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洛阳市保护和奖励维护社会治安</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sz w:val="44"/>
          <w:szCs w:val="44"/>
        </w:rPr>
        <w:t>见义勇为人员条例</w:t>
      </w: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632" w:leftChars="200" w:right="632" w:rightChars="200" w:firstLine="0" w:firstLineChars="0"/>
        <w:jc w:val="both"/>
        <w:textAlignment w:val="auto"/>
        <w:outlineLvl w:val="9"/>
        <w:rPr>
          <w:rFonts w:hint="eastAsia" w:ascii="方正楷体_GBK" w:hAnsi="Arial" w:eastAsia="方正楷体_GBK" w:cs="Arial"/>
          <w:sz w:val="28"/>
          <w:szCs w:val="28"/>
        </w:rPr>
      </w:pPr>
      <w:r>
        <w:rPr>
          <w:rFonts w:hint="eastAsia" w:ascii="楷体_GB2312" w:hAnsi="楷体_GB2312" w:eastAsia="楷体_GB2312" w:cs="楷体_GB2312"/>
          <w:sz w:val="32"/>
          <w:szCs w:val="32"/>
        </w:rPr>
        <w:t>（2002年8月29日洛阳市第十一届人民代表大会常务委员会第三十一次会议通过</w:t>
      </w:r>
      <w:r>
        <w:rPr>
          <w:rFonts w:ascii="黑体" w:hAnsi="Arial" w:eastAsia="黑体" w:cs="Arial"/>
          <w:sz w:val="32"/>
          <w:szCs w:val="32"/>
        </w:rPr>
        <w:t>　</w:t>
      </w:r>
      <w:r>
        <w:rPr>
          <w:rFonts w:hint="eastAsia" w:ascii="楷体_GB2312" w:hAnsi="楷体_GB2312" w:eastAsia="楷体_GB2312" w:cs="楷体_GB2312"/>
          <w:sz w:val="32"/>
          <w:szCs w:val="32"/>
        </w:rPr>
        <w:t>2002年11月30日河南省第九届人民代表大会常务委员会第三十一次会议批准）</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552" w:firstLineChars="200"/>
        <w:textAlignment w:val="auto"/>
        <w:outlineLvl w:val="9"/>
        <w:rPr>
          <w:rFonts w:hint="eastAsia" w:ascii="方正楷体_GBK" w:hAnsi="Arial" w:eastAsia="方正楷体_GBK" w:cs="Arial"/>
          <w:sz w:val="28"/>
          <w:szCs w:val="28"/>
          <w:lang w:val="en-US" w:eastAsia="zh-CN"/>
        </w:rPr>
      </w:pP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ascii="Arial" w:hAnsi="Arial" w:cs="Arial"/>
          <w:sz w:val="32"/>
          <w:szCs w:val="32"/>
        </w:rPr>
      </w:pPr>
      <w:r>
        <w:rPr>
          <w:rFonts w:hint="eastAsia" w:ascii="仿宋_GB2312" w:hAnsi="仿宋_GB2312" w:eastAsia="仿宋_GB2312" w:cs="仿宋_GB2312"/>
        </w:rPr>
        <w:t>　　</w:t>
      </w:r>
      <w:r>
        <w:rPr>
          <w:rFonts w:hint="eastAsia" w:ascii="黑体" w:hAnsi="Arial" w:eastAsia="黑体" w:cs="Arial"/>
          <w:sz w:val="32"/>
          <w:szCs w:val="32"/>
        </w:rPr>
        <w:t>第一条</w:t>
      </w:r>
      <w:r>
        <w:rPr>
          <w:rFonts w:ascii="黑体" w:hAnsi="Arial" w:eastAsia="黑体" w:cs="Arial"/>
          <w:sz w:val="32"/>
          <w:szCs w:val="32"/>
        </w:rPr>
        <w:t>　</w:t>
      </w:r>
      <w:r>
        <w:rPr>
          <w:rFonts w:ascii="Arial" w:hAnsi="Arial" w:cs="Arial"/>
          <w:sz w:val="32"/>
          <w:szCs w:val="32"/>
        </w:rPr>
        <w:t xml:space="preserve">为保障维护社会治安见义勇为人员的合法权益，鼓励公民同违法犯罪行为作斗争，维护社会治安秩序，促进社会稳定和社会主义精神文明建设，根据有关法律、法规，结合本市实际，制定本条例。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第二条　</w:t>
      </w:r>
      <w:r>
        <w:rPr>
          <w:rFonts w:ascii="Arial" w:hAnsi="Arial" w:cs="Arial"/>
          <w:sz w:val="32"/>
          <w:szCs w:val="32"/>
        </w:rPr>
        <w:t xml:space="preserve">本条例所称的维护社会治安见义勇为（以下简称见义勇为），是指公民在国家利益、集体利益或者他人的人身安全、财产安全受到不法侵害时，挺身而出同违法犯罪行为作斗争的行为。 </w:t>
      </w:r>
      <w:r>
        <w:rPr>
          <w:rFonts w:ascii="Arial" w:hAnsi="Arial" w:cs="Arial"/>
          <w:sz w:val="32"/>
          <w:szCs w:val="32"/>
        </w:rPr>
        <w:br w:type="textWrapping"/>
      </w:r>
      <w:r>
        <w:rPr>
          <w:rFonts w:ascii="Arial" w:hAnsi="Arial" w:cs="Arial"/>
          <w:sz w:val="32"/>
          <w:szCs w:val="32"/>
        </w:rPr>
        <w:t xml:space="preserve">　　负有维护社会治安责任的国家工作人员有前款行为的，按照国家有关规定进行表彰和奖励。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第三条　</w:t>
      </w:r>
      <w:r>
        <w:rPr>
          <w:rFonts w:ascii="Arial" w:hAnsi="Arial" w:cs="Arial"/>
          <w:sz w:val="32"/>
          <w:szCs w:val="32"/>
        </w:rPr>
        <w:t xml:space="preserve">在本市行政区域内见义勇为的，适用本条例。 </w:t>
      </w:r>
      <w:r>
        <w:rPr>
          <w:rFonts w:ascii="Arial" w:hAnsi="Arial" w:cs="Arial"/>
          <w:sz w:val="32"/>
          <w:szCs w:val="32"/>
        </w:rPr>
        <w:br w:type="textWrapping"/>
      </w:r>
      <w:r>
        <w:rPr>
          <w:rFonts w:ascii="Arial" w:hAnsi="Arial" w:cs="Arial"/>
          <w:sz w:val="32"/>
          <w:szCs w:val="32"/>
        </w:rPr>
        <w:t xml:space="preserve">　　本市人员在本市行政区域外见义勇为的，参照本条例执行。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第四条　</w:t>
      </w:r>
      <w:r>
        <w:rPr>
          <w:rFonts w:ascii="Arial" w:hAnsi="Arial" w:cs="Arial"/>
          <w:sz w:val="32"/>
          <w:szCs w:val="32"/>
        </w:rPr>
        <w:t xml:space="preserve">本条例由市、县（市、区）人民政府组织实施。具体工作由市、县（市、区）人民政府确定的工作机构办理。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第五条　</w:t>
      </w:r>
      <w:r>
        <w:rPr>
          <w:rFonts w:ascii="Arial" w:hAnsi="Arial" w:cs="Arial"/>
          <w:sz w:val="32"/>
          <w:szCs w:val="32"/>
        </w:rPr>
        <w:t xml:space="preserve">全社会应支持见义勇为行为，尊重和保护见义勇为人员。 </w:t>
      </w:r>
      <w:r>
        <w:rPr>
          <w:rFonts w:ascii="Arial" w:hAnsi="Arial" w:cs="Arial"/>
          <w:sz w:val="32"/>
          <w:szCs w:val="32"/>
        </w:rPr>
        <w:br w:type="textWrapping"/>
      </w:r>
      <w:r>
        <w:rPr>
          <w:rFonts w:ascii="Arial" w:hAnsi="Arial" w:cs="Arial"/>
          <w:sz w:val="32"/>
          <w:szCs w:val="32"/>
        </w:rPr>
        <w:t xml:space="preserve">　　新闻媒体应当及时对见义勇为事迹进行宣传报道。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第六条　</w:t>
      </w:r>
      <w:r>
        <w:rPr>
          <w:rFonts w:ascii="Arial" w:hAnsi="Arial" w:cs="Arial"/>
          <w:sz w:val="32"/>
          <w:szCs w:val="32"/>
        </w:rPr>
        <w:t xml:space="preserve">有下列见义勇为行为之一的，应当给予保护和奖励：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w:t>
      </w:r>
      <w:r>
        <w:rPr>
          <w:rFonts w:hint="eastAsia" w:ascii="Arial" w:hAnsi="Arial" w:cs="Arial"/>
          <w:sz w:val="32"/>
          <w:szCs w:val="32"/>
          <w:lang w:eastAsia="zh-CN"/>
        </w:rPr>
        <w:t>（</w:t>
      </w:r>
      <w:r>
        <w:rPr>
          <w:rFonts w:hint="eastAsia" w:ascii="Arial" w:hAnsi="Arial" w:cs="Arial"/>
          <w:sz w:val="32"/>
          <w:szCs w:val="32"/>
          <w:lang w:val="en-US" w:eastAsia="zh-CN"/>
        </w:rPr>
        <w:t>一</w:t>
      </w:r>
      <w:r>
        <w:rPr>
          <w:rFonts w:hint="eastAsia" w:ascii="Arial" w:hAnsi="Arial" w:cs="Arial"/>
          <w:sz w:val="32"/>
          <w:szCs w:val="32"/>
          <w:lang w:eastAsia="zh-CN"/>
        </w:rPr>
        <w:t>）</w:t>
      </w:r>
      <w:r>
        <w:rPr>
          <w:rFonts w:ascii="Arial" w:hAnsi="Arial" w:cs="Arial"/>
          <w:sz w:val="32"/>
          <w:szCs w:val="32"/>
        </w:rPr>
        <w:t>发现正在预备犯罪，挺身而出予以制止，防止重大案件发生的；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0" w:firstLineChars="0"/>
        <w:jc w:val="both"/>
        <w:textAlignment w:val="auto"/>
        <w:outlineLvl w:val="9"/>
        <w:rPr>
          <w:rFonts w:ascii="Arial" w:hAnsi="Arial" w:cs="Arial"/>
          <w:sz w:val="32"/>
          <w:szCs w:val="32"/>
        </w:rPr>
      </w:pPr>
      <w:r>
        <w:rPr>
          <w:rFonts w:ascii="Arial" w:hAnsi="Arial" w:cs="Arial"/>
          <w:sz w:val="32"/>
          <w:szCs w:val="32"/>
        </w:rPr>
        <w:t>　</w:t>
      </w:r>
      <w:r>
        <w:rPr>
          <w:rFonts w:ascii="黑体" w:hAnsi="Arial" w:eastAsia="黑体" w:cs="Arial"/>
          <w:sz w:val="32"/>
          <w:szCs w:val="32"/>
        </w:rPr>
        <w:t>　</w:t>
      </w:r>
      <w:r>
        <w:rPr>
          <w:rFonts w:hint="eastAsia" w:ascii="Arial" w:hAnsi="Arial" w:cs="Arial"/>
          <w:sz w:val="32"/>
          <w:szCs w:val="32"/>
          <w:lang w:eastAsia="zh-CN"/>
        </w:rPr>
        <w:t>（</w:t>
      </w:r>
      <w:r>
        <w:rPr>
          <w:rFonts w:hint="eastAsia" w:ascii="Arial" w:hAnsi="Arial" w:cs="Arial"/>
          <w:sz w:val="32"/>
          <w:szCs w:val="32"/>
          <w:lang w:val="en-US" w:eastAsia="zh-CN"/>
        </w:rPr>
        <w:t>二</w:t>
      </w:r>
      <w:r>
        <w:rPr>
          <w:rFonts w:hint="eastAsia" w:ascii="Arial" w:hAnsi="Arial" w:cs="Arial"/>
          <w:sz w:val="32"/>
          <w:szCs w:val="32"/>
          <w:lang w:eastAsia="zh-CN"/>
        </w:rPr>
        <w:t>）</w:t>
      </w:r>
      <w:r>
        <w:rPr>
          <w:rFonts w:ascii="Arial" w:hAnsi="Arial" w:cs="Arial"/>
          <w:sz w:val="32"/>
          <w:szCs w:val="32"/>
        </w:rPr>
        <w:t>发现正在实施犯罪行为，奋不顾身予以制止的；</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0" w:firstLineChars="0"/>
        <w:jc w:val="both"/>
        <w:textAlignment w:val="auto"/>
        <w:outlineLvl w:val="9"/>
        <w:rPr>
          <w:rFonts w:hint="eastAsia"/>
          <w:sz w:val="28"/>
          <w:szCs w:val="28"/>
        </w:rPr>
      </w:pPr>
      <w:r>
        <w:rPr>
          <w:rFonts w:ascii="Arial" w:hAnsi="Arial" w:cs="Arial"/>
          <w:sz w:val="32"/>
          <w:szCs w:val="32"/>
        </w:rPr>
        <w:t>　</w:t>
      </w:r>
      <w:r>
        <w:rPr>
          <w:rFonts w:ascii="黑体" w:hAnsi="Arial" w:eastAsia="黑体" w:cs="Arial"/>
          <w:sz w:val="32"/>
          <w:szCs w:val="32"/>
        </w:rPr>
        <w:t>　</w:t>
      </w:r>
      <w:r>
        <w:rPr>
          <w:rFonts w:hint="eastAsia" w:ascii="Arial" w:hAnsi="Arial" w:cs="Arial"/>
          <w:sz w:val="32"/>
          <w:szCs w:val="32"/>
          <w:lang w:eastAsia="zh-CN"/>
        </w:rPr>
        <w:t>（</w:t>
      </w:r>
      <w:r>
        <w:rPr>
          <w:rFonts w:hint="eastAsia" w:ascii="Arial" w:hAnsi="Arial" w:cs="Arial"/>
          <w:sz w:val="32"/>
          <w:szCs w:val="32"/>
          <w:lang w:val="en-US" w:eastAsia="zh-CN"/>
        </w:rPr>
        <w:t>三</w:t>
      </w:r>
      <w:r>
        <w:rPr>
          <w:rFonts w:hint="eastAsia" w:ascii="Arial" w:hAnsi="Arial" w:cs="Arial"/>
          <w:sz w:val="32"/>
          <w:szCs w:val="32"/>
          <w:lang w:eastAsia="zh-CN"/>
        </w:rPr>
        <w:t>）</w:t>
      </w:r>
      <w:r>
        <w:rPr>
          <w:rFonts w:ascii="Arial" w:hAnsi="Arial" w:cs="Arial"/>
          <w:sz w:val="32"/>
          <w:szCs w:val="32"/>
        </w:rPr>
        <w:t xml:space="preserve">发现作案后在逃或者被通缉的犯罪嫌疑人，主动抓获，扭送公安、司法机关的； </w:t>
      </w:r>
      <w:bookmarkStart w:id="0" w:name="_GoBack"/>
      <w:bookmarkEnd w:id="0"/>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w:t>
      </w:r>
      <w:r>
        <w:rPr>
          <w:rFonts w:hint="eastAsia" w:ascii="Arial" w:hAnsi="Arial" w:cs="Arial"/>
          <w:sz w:val="32"/>
          <w:szCs w:val="32"/>
          <w:lang w:eastAsia="zh-CN"/>
        </w:rPr>
        <w:t>（</w:t>
      </w:r>
      <w:r>
        <w:rPr>
          <w:rFonts w:hint="eastAsia" w:ascii="Arial" w:hAnsi="Arial" w:cs="Arial"/>
          <w:sz w:val="32"/>
          <w:szCs w:val="32"/>
          <w:lang w:val="en-US" w:eastAsia="zh-CN"/>
        </w:rPr>
        <w:t>四</w:t>
      </w:r>
      <w:r>
        <w:rPr>
          <w:rFonts w:hint="eastAsia" w:ascii="Arial" w:hAnsi="Arial" w:cs="Arial"/>
          <w:sz w:val="32"/>
          <w:szCs w:val="32"/>
          <w:lang w:eastAsia="zh-CN"/>
        </w:rPr>
        <w:t>）</w:t>
      </w:r>
      <w:r>
        <w:rPr>
          <w:rFonts w:ascii="Arial" w:hAnsi="Arial" w:cs="Arial"/>
          <w:sz w:val="32"/>
          <w:szCs w:val="32"/>
        </w:rPr>
        <w:t xml:space="preserve">其他维护社会治安见义勇为的行为。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第七条　</w:t>
      </w:r>
      <w:r>
        <w:rPr>
          <w:rFonts w:ascii="Arial" w:hAnsi="Arial" w:cs="Arial"/>
          <w:sz w:val="32"/>
          <w:szCs w:val="32"/>
        </w:rPr>
        <w:t xml:space="preserve">对见义勇为人员的奖励实行精神鼓励和物质奖励相结合的原则。 </w:t>
      </w:r>
      <w:r>
        <w:rPr>
          <w:rFonts w:ascii="Arial" w:hAnsi="Arial" w:cs="Arial"/>
          <w:sz w:val="32"/>
          <w:szCs w:val="32"/>
        </w:rPr>
        <w:br w:type="textWrapping"/>
      </w:r>
      <w:r>
        <w:rPr>
          <w:rFonts w:ascii="Arial" w:hAnsi="Arial" w:cs="Arial"/>
          <w:sz w:val="32"/>
          <w:szCs w:val="32"/>
        </w:rPr>
        <w:t xml:space="preserve">　　根据见义勇为人员的表现和贡献，由市、县（市、区）人民政府给予下列单项或者多项奖励： </w:t>
      </w:r>
      <w:r>
        <w:rPr>
          <w:rFonts w:ascii="Arial" w:hAnsi="Arial" w:cs="Arial"/>
          <w:sz w:val="32"/>
          <w:szCs w:val="32"/>
        </w:rPr>
        <w:br w:type="textWrapping"/>
      </w:r>
      <w:r>
        <w:rPr>
          <w:rFonts w:ascii="Arial" w:hAnsi="Arial" w:cs="Arial"/>
          <w:sz w:val="32"/>
          <w:szCs w:val="32"/>
        </w:rPr>
        <w:t xml:space="preserve">　　（一）授予荣誉称号； </w:t>
      </w:r>
      <w:r>
        <w:rPr>
          <w:rFonts w:ascii="Arial" w:hAnsi="Arial" w:cs="Arial"/>
          <w:sz w:val="32"/>
          <w:szCs w:val="32"/>
        </w:rPr>
        <w:br w:type="textWrapping"/>
      </w:r>
      <w:r>
        <w:rPr>
          <w:rFonts w:ascii="Arial" w:hAnsi="Arial" w:cs="Arial"/>
          <w:sz w:val="32"/>
          <w:szCs w:val="32"/>
        </w:rPr>
        <w:t xml:space="preserve">　　（二）记功； </w:t>
      </w:r>
      <w:r>
        <w:rPr>
          <w:rFonts w:ascii="Arial" w:hAnsi="Arial" w:cs="Arial"/>
          <w:sz w:val="32"/>
          <w:szCs w:val="32"/>
        </w:rPr>
        <w:br w:type="textWrapping"/>
      </w:r>
      <w:r>
        <w:rPr>
          <w:rFonts w:ascii="Arial" w:hAnsi="Arial" w:cs="Arial"/>
          <w:sz w:val="32"/>
          <w:szCs w:val="32"/>
        </w:rPr>
        <w:t xml:space="preserve">　　（三）嘉奖； </w:t>
      </w:r>
      <w:r>
        <w:rPr>
          <w:rFonts w:ascii="Arial" w:hAnsi="Arial" w:cs="Arial"/>
          <w:sz w:val="32"/>
          <w:szCs w:val="32"/>
        </w:rPr>
        <w:br w:type="textWrapping"/>
      </w:r>
      <w:r>
        <w:rPr>
          <w:rFonts w:ascii="Arial" w:hAnsi="Arial" w:cs="Arial"/>
          <w:sz w:val="32"/>
          <w:szCs w:val="32"/>
        </w:rPr>
        <w:t xml:space="preserve">　　（四）发给奖金； </w:t>
      </w:r>
      <w:r>
        <w:rPr>
          <w:rFonts w:ascii="Arial" w:hAnsi="Arial" w:cs="Arial"/>
          <w:sz w:val="32"/>
          <w:szCs w:val="32"/>
        </w:rPr>
        <w:br w:type="textWrapping"/>
      </w:r>
      <w:r>
        <w:rPr>
          <w:rFonts w:ascii="Arial" w:hAnsi="Arial" w:cs="Arial"/>
          <w:sz w:val="32"/>
          <w:szCs w:val="32"/>
        </w:rPr>
        <w:t xml:space="preserve">　　（五）其他奖励。 </w:t>
      </w:r>
      <w:r>
        <w:rPr>
          <w:rFonts w:ascii="Arial" w:hAnsi="Arial" w:cs="Arial"/>
          <w:sz w:val="32"/>
          <w:szCs w:val="32"/>
        </w:rPr>
        <w:br w:type="textWrapping"/>
      </w:r>
      <w:r>
        <w:rPr>
          <w:rFonts w:ascii="Arial" w:hAnsi="Arial" w:cs="Arial"/>
          <w:sz w:val="32"/>
          <w:szCs w:val="32"/>
        </w:rPr>
        <w:t xml:space="preserve">　　荣誉称号分为“见义勇为勇士”和“见义勇为先进分子”。“见义勇为勇士”称号由市人民政府授予；“见义勇为先进分子”称号由县（市、区）人民政府授予。 </w:t>
      </w:r>
      <w:r>
        <w:rPr>
          <w:rFonts w:ascii="Arial" w:hAnsi="Arial" w:cs="Arial"/>
          <w:sz w:val="32"/>
          <w:szCs w:val="32"/>
        </w:rPr>
        <w:br w:type="textWrapping"/>
      </w:r>
      <w:r>
        <w:rPr>
          <w:rFonts w:ascii="Arial" w:hAnsi="Arial" w:cs="Arial"/>
          <w:sz w:val="32"/>
          <w:szCs w:val="32"/>
        </w:rPr>
        <w:t xml:space="preserve">　　获得荣誉称号的，享受同级劳动模范待遇。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第八条　</w:t>
      </w:r>
      <w:r>
        <w:rPr>
          <w:rFonts w:ascii="Arial" w:hAnsi="Arial" w:cs="Arial"/>
          <w:sz w:val="32"/>
          <w:szCs w:val="32"/>
        </w:rPr>
        <w:t xml:space="preserve">见义勇为行为由见义勇为发生地的县级以上公安机关认定。见义勇为人员有单位的，由其单位向认定机关申报；无单位的，由见义勇为发生地的公安派出所向认定机关申报。见义勇为人员或者其他公民也可以直接向认定机关申报或者举荐。 </w:t>
      </w:r>
      <w:r>
        <w:rPr>
          <w:rFonts w:ascii="Arial" w:hAnsi="Arial" w:cs="Arial"/>
          <w:sz w:val="32"/>
          <w:szCs w:val="32"/>
        </w:rPr>
        <w:br w:type="textWrapping"/>
      </w:r>
      <w:r>
        <w:rPr>
          <w:rFonts w:ascii="Arial" w:hAnsi="Arial" w:cs="Arial"/>
          <w:sz w:val="32"/>
          <w:szCs w:val="32"/>
        </w:rPr>
        <w:t xml:space="preserve">　　见义勇为认定机关应当在接到申报或者举荐之日起三十日内作出确认，由市、县（市、区）人民政府确定的工作机构提出保护和奖励意见，报本级人民政府决定。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第九条　</w:t>
      </w:r>
      <w:r>
        <w:rPr>
          <w:rFonts w:ascii="Arial" w:hAnsi="Arial" w:cs="Arial"/>
          <w:sz w:val="32"/>
          <w:szCs w:val="32"/>
        </w:rPr>
        <w:t xml:space="preserve">公民因见义勇为负伤的，就诊医疗单位应当及时抢救治疗，不得以任何理由拒绝或者拖延治疗。医疗单位或其人员不予救治或者不负责任而延误救治的，由卫生行政主管部门或其所在单位追究责任；造成严重后果构成犯罪的，依法追究刑事责任。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第十条　</w:t>
      </w:r>
      <w:r>
        <w:rPr>
          <w:rFonts w:ascii="Arial" w:hAnsi="Arial" w:cs="Arial"/>
          <w:sz w:val="32"/>
          <w:szCs w:val="32"/>
        </w:rPr>
        <w:t xml:space="preserve">救治见义勇为人员的医疗费用，本人参加工伤保险的，由工伤保险机构支付；本人未参加工伤保险的，由见义勇为发生地的县（市、区）财政全额支付。 </w:t>
      </w:r>
      <w:r>
        <w:rPr>
          <w:rFonts w:ascii="Arial" w:hAnsi="Arial" w:cs="Arial"/>
          <w:sz w:val="32"/>
          <w:szCs w:val="32"/>
        </w:rPr>
        <w:br w:type="textWrapping"/>
      </w:r>
      <w:r>
        <w:rPr>
          <w:rFonts w:ascii="黑体" w:hAnsi="Arial" w:eastAsia="黑体" w:cs="Arial"/>
          <w:sz w:val="32"/>
          <w:szCs w:val="32"/>
        </w:rPr>
        <w:t>　　第十一条　</w:t>
      </w:r>
      <w:r>
        <w:rPr>
          <w:rFonts w:ascii="Arial" w:hAnsi="Arial" w:cs="Arial"/>
          <w:sz w:val="32"/>
          <w:szCs w:val="32"/>
        </w:rPr>
        <w:t xml:space="preserve">公民因见义勇为误工的，视同出勤。因见义勇为致残的，由单位或户籍所在地的民政部门按照因公（工）伤残待遇对待；致残后完全丧失劳动能力的，由户籍所在地的民政部门按上一年度当地居民人均消费性支出两倍以上的标准向其逐年发放生活费用；生活完全不能自理且家庭无人照顾的，由户籍所在地的民政部门安置供养。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第十二条　</w:t>
      </w:r>
      <w:r>
        <w:rPr>
          <w:rFonts w:ascii="Arial" w:hAnsi="Arial" w:cs="Arial"/>
          <w:sz w:val="32"/>
          <w:szCs w:val="32"/>
        </w:rPr>
        <w:t xml:space="preserve">公民因见义勇为牺牲的，由见义勇为发生地的县（市、区）人民政府依照《革命烈士褒扬条例》报批，并做好家属的抚恤工作。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第十三条　</w:t>
      </w:r>
      <w:r>
        <w:rPr>
          <w:rFonts w:ascii="Arial" w:hAnsi="Arial" w:cs="Arial"/>
          <w:sz w:val="32"/>
          <w:szCs w:val="32"/>
        </w:rPr>
        <w:t xml:space="preserve">见义勇为人员及其亲属（指配偶、子女、父母，依靠见义勇为人员生活的十八周岁以下的兄弟姊妹，以及必须依靠见义勇为人员生活的其他亲属），享有就业、入学、住房的优先权： </w:t>
      </w:r>
      <w:r>
        <w:rPr>
          <w:rFonts w:ascii="Arial" w:hAnsi="Arial" w:cs="Arial"/>
          <w:sz w:val="32"/>
          <w:szCs w:val="32"/>
        </w:rPr>
        <w:br w:type="textWrapping"/>
      </w:r>
      <w:r>
        <w:rPr>
          <w:rFonts w:ascii="Arial" w:hAnsi="Arial" w:cs="Arial"/>
          <w:sz w:val="32"/>
          <w:szCs w:val="32"/>
        </w:rPr>
        <w:t xml:space="preserve">　　（一）劳动、人事部门应在同等条件下优先推荐就业，从事个体经营的，工商等部门应优先办理证照，减免相关费用； </w:t>
      </w:r>
      <w:r>
        <w:rPr>
          <w:rFonts w:ascii="Arial" w:hAnsi="Arial" w:cs="Arial"/>
          <w:sz w:val="32"/>
          <w:szCs w:val="32"/>
        </w:rPr>
        <w:br w:type="textWrapping"/>
      </w:r>
      <w:r>
        <w:rPr>
          <w:rFonts w:ascii="Arial" w:hAnsi="Arial" w:cs="Arial"/>
          <w:sz w:val="32"/>
          <w:szCs w:val="32"/>
        </w:rPr>
        <w:t xml:space="preserve">　　（二）本市初中、小学招生时，减免相关费用；市属大专、中专、高中招生时，在同等条件下，优先录取，减免相关费用，就业时优先推荐； </w:t>
      </w:r>
      <w:r>
        <w:rPr>
          <w:rFonts w:ascii="Arial" w:hAnsi="Arial" w:cs="Arial"/>
          <w:sz w:val="32"/>
          <w:szCs w:val="32"/>
        </w:rPr>
        <w:br w:type="textWrapping"/>
      </w:r>
      <w:r>
        <w:rPr>
          <w:rFonts w:ascii="Arial" w:hAnsi="Arial" w:cs="Arial"/>
          <w:sz w:val="32"/>
          <w:szCs w:val="32"/>
        </w:rPr>
        <w:t xml:space="preserve">　　（三）所在单位建房时，同等条件下，优先照顾； </w:t>
      </w:r>
      <w:r>
        <w:rPr>
          <w:rFonts w:ascii="Arial" w:hAnsi="Arial" w:cs="Arial"/>
          <w:sz w:val="32"/>
          <w:szCs w:val="32"/>
        </w:rPr>
        <w:br w:type="textWrapping"/>
      </w:r>
      <w:r>
        <w:rPr>
          <w:rFonts w:ascii="Arial" w:hAnsi="Arial" w:cs="Arial"/>
          <w:sz w:val="32"/>
          <w:szCs w:val="32"/>
        </w:rPr>
        <w:t xml:space="preserve">　　见义勇为牺牲人员的亲属、见义勇为致残人员及其亲属生活困难的，由民政部门按规定给予补助。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第十四条　</w:t>
      </w:r>
      <w:r>
        <w:rPr>
          <w:rFonts w:ascii="Arial" w:hAnsi="Arial" w:cs="Arial"/>
          <w:sz w:val="32"/>
          <w:szCs w:val="32"/>
        </w:rPr>
        <w:t xml:space="preserve">公安、司法机关和相关单位对见义勇为人员及其亲属应当采取有效措施予以保护。对打击报复见义勇为人员及其亲属的违法、犯罪行为，依法惩处。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第十五条　</w:t>
      </w:r>
      <w:r>
        <w:rPr>
          <w:rFonts w:ascii="Arial" w:hAnsi="Arial" w:cs="Arial"/>
          <w:sz w:val="32"/>
          <w:szCs w:val="32"/>
        </w:rPr>
        <w:t xml:space="preserve">市、县（市、区）应当依法设立见义勇为专项资金，用于对见义勇为人员及其亲属的奖励和救济。 </w:t>
      </w:r>
      <w:r>
        <w:rPr>
          <w:rFonts w:ascii="Arial" w:hAnsi="Arial" w:cs="Arial"/>
          <w:sz w:val="32"/>
          <w:szCs w:val="32"/>
        </w:rPr>
        <w:br w:type="textWrapping"/>
      </w:r>
      <w:r>
        <w:rPr>
          <w:rFonts w:ascii="Arial" w:hAnsi="Arial" w:cs="Arial"/>
          <w:sz w:val="32"/>
          <w:szCs w:val="32"/>
        </w:rPr>
        <w:t>　　</w:t>
      </w:r>
      <w:r>
        <w:rPr>
          <w:rFonts w:hint="eastAsia" w:ascii="Arial" w:hAnsi="Arial" w:cs="Arial"/>
          <w:sz w:val="32"/>
          <w:szCs w:val="32"/>
        </w:rPr>
        <w:t xml:space="preserve"> </w:t>
      </w:r>
      <w:r>
        <w:rPr>
          <w:rFonts w:ascii="Arial" w:hAnsi="Arial" w:cs="Arial"/>
          <w:sz w:val="32"/>
          <w:szCs w:val="32"/>
        </w:rPr>
        <w:t xml:space="preserve">见义勇为专项资金的来源： </w:t>
      </w:r>
      <w:r>
        <w:rPr>
          <w:rFonts w:ascii="Arial" w:hAnsi="Arial" w:cs="Arial"/>
          <w:sz w:val="32"/>
          <w:szCs w:val="32"/>
        </w:rPr>
        <w:br w:type="textWrapping"/>
      </w:r>
      <w:r>
        <w:rPr>
          <w:rFonts w:ascii="Arial" w:hAnsi="Arial" w:cs="Arial"/>
          <w:sz w:val="32"/>
          <w:szCs w:val="32"/>
        </w:rPr>
        <w:t xml:space="preserve">　　（一）市、县（市、区）人民政府财政拨款； </w:t>
      </w:r>
      <w:r>
        <w:rPr>
          <w:rFonts w:ascii="Arial" w:hAnsi="Arial" w:cs="Arial"/>
          <w:sz w:val="32"/>
          <w:szCs w:val="32"/>
        </w:rPr>
        <w:br w:type="textWrapping"/>
      </w:r>
      <w:r>
        <w:rPr>
          <w:rFonts w:ascii="Arial" w:hAnsi="Arial" w:cs="Arial"/>
          <w:sz w:val="32"/>
          <w:szCs w:val="32"/>
        </w:rPr>
        <w:t xml:space="preserve">　　（二）国家机关、社会团体、企事业单位的捐款； </w:t>
      </w:r>
      <w:r>
        <w:rPr>
          <w:rFonts w:ascii="Arial" w:hAnsi="Arial" w:cs="Arial"/>
          <w:sz w:val="32"/>
          <w:szCs w:val="32"/>
        </w:rPr>
        <w:br w:type="textWrapping"/>
      </w:r>
      <w:r>
        <w:rPr>
          <w:rFonts w:ascii="Arial" w:hAnsi="Arial" w:cs="Arial"/>
          <w:sz w:val="32"/>
          <w:szCs w:val="32"/>
        </w:rPr>
        <w:t xml:space="preserve">　　（三）社会各界人士的捐款。 </w:t>
      </w:r>
      <w:r>
        <w:rPr>
          <w:rFonts w:ascii="Arial" w:hAnsi="Arial" w:cs="Arial"/>
          <w:sz w:val="32"/>
          <w:szCs w:val="32"/>
        </w:rPr>
        <w:br w:type="textWrapping"/>
      </w:r>
      <w:r>
        <w:rPr>
          <w:rFonts w:ascii="Arial" w:hAnsi="Arial" w:cs="Arial"/>
          <w:sz w:val="32"/>
          <w:szCs w:val="32"/>
        </w:rPr>
        <w:t xml:space="preserve">　　见义勇为专项资金由市、县（市、区）人民政府确定的工作机构依法管理，专款专用，并接受同级财政、审计部门的监督。 </w:t>
      </w:r>
      <w:r>
        <w:rPr>
          <w:rFonts w:ascii="Arial" w:hAnsi="Arial" w:cs="Arial"/>
          <w:sz w:val="32"/>
          <w:szCs w:val="32"/>
        </w:rPr>
        <w:br w:type="textWrapping"/>
      </w:r>
      <w:r>
        <w:rPr>
          <w:rFonts w:ascii="黑体" w:hAnsi="Arial" w:eastAsia="黑体" w:cs="Arial"/>
          <w:sz w:val="32"/>
          <w:szCs w:val="32"/>
        </w:rPr>
        <w:t>　　第十六条　</w:t>
      </w:r>
      <w:r>
        <w:rPr>
          <w:rFonts w:ascii="Arial" w:hAnsi="Arial" w:cs="Arial"/>
          <w:sz w:val="32"/>
          <w:szCs w:val="32"/>
        </w:rPr>
        <w:t xml:space="preserve">见义勇为人员的合法权益依照本条例未得到保护的，本人及其亲属或者所在单位、村（居）民委员会可以向公安、民政、劳动和社会保障等部门提出申诉，有关部门应当自接到申诉之日起十个工作日内向申诉人作出答复。对于拒不履行本条例规定职责的单位，由市、县（市、区）人民政府责令履行，并对责任人视情节作出处理。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第十七条　</w:t>
      </w:r>
      <w:r>
        <w:rPr>
          <w:rFonts w:ascii="Arial" w:hAnsi="Arial" w:cs="Arial"/>
          <w:sz w:val="32"/>
          <w:szCs w:val="32"/>
        </w:rPr>
        <w:t xml:space="preserve">负有保护和奖励见义勇为人员职责的部门及其工作人员在工作中弄虚作假、徇私舞弊、玩忽职守、滥用职权的，由主管部门对责任人员给予行政处分；构成犯罪的，依法追究刑事责任。 </w:t>
      </w:r>
      <w:r>
        <w:rPr>
          <w:rFonts w:ascii="Arial" w:hAnsi="Arial" w:cs="Arial"/>
          <w:sz w:val="32"/>
          <w:szCs w:val="32"/>
        </w:rPr>
        <w:br w:type="textWrapping"/>
      </w:r>
      <w:r>
        <w:rPr>
          <w:rFonts w:ascii="Arial" w:hAnsi="Arial" w:cs="Arial"/>
          <w:sz w:val="32"/>
          <w:szCs w:val="32"/>
        </w:rPr>
        <w:t>　</w:t>
      </w:r>
      <w:r>
        <w:rPr>
          <w:rFonts w:ascii="黑体" w:hAnsi="Arial" w:eastAsia="黑体" w:cs="Arial"/>
          <w:sz w:val="32"/>
          <w:szCs w:val="32"/>
        </w:rPr>
        <w:t>　第十八条　</w:t>
      </w:r>
      <w:r>
        <w:rPr>
          <w:rFonts w:ascii="Arial" w:hAnsi="Arial" w:cs="Arial"/>
          <w:sz w:val="32"/>
          <w:szCs w:val="32"/>
        </w:rPr>
        <w:t xml:space="preserve">本市行政区域内其他见义勇为人员的保护和奖励，参照本条例执行。 </w:t>
      </w:r>
      <w:r>
        <w:rPr>
          <w:rFonts w:ascii="Arial" w:hAnsi="Arial" w:cs="Arial"/>
          <w:sz w:val="32"/>
          <w:szCs w:val="32"/>
        </w:rPr>
        <w:br w:type="textWrapping"/>
      </w:r>
      <w:r>
        <w:rPr>
          <w:rFonts w:ascii="黑体" w:hAnsi="Arial" w:eastAsia="黑体" w:cs="Arial"/>
          <w:sz w:val="32"/>
          <w:szCs w:val="32"/>
        </w:rPr>
        <w:t>　　第十九条　</w:t>
      </w:r>
      <w:r>
        <w:rPr>
          <w:rFonts w:ascii="Arial" w:hAnsi="Arial" w:cs="Arial"/>
          <w:sz w:val="32"/>
          <w:szCs w:val="32"/>
        </w:rPr>
        <w:t>本条例自</w:t>
      </w:r>
      <w:r>
        <w:rPr>
          <w:rFonts w:hint="eastAsia" w:ascii="仿宋_GB2312" w:hAnsi="仿宋_GB2312" w:eastAsia="仿宋_GB2312" w:cs="仿宋_GB2312"/>
          <w:sz w:val="32"/>
          <w:szCs w:val="32"/>
          <w:lang w:val="en-US" w:eastAsia="zh-CN"/>
        </w:rPr>
        <w:t>2003</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w:t>
      </w:r>
      <w:r>
        <w:rPr>
          <w:rFonts w:ascii="Arial" w:hAnsi="Arial" w:cs="Arial"/>
          <w:sz w:val="32"/>
          <w:szCs w:val="32"/>
        </w:rPr>
        <w:t>施行。</w:t>
      </w:r>
    </w:p>
    <w:p>
      <w:pPr>
        <w:keepNext w:val="0"/>
        <w:keepLines w:val="0"/>
        <w:pageBreakBefore w:val="0"/>
        <w:widowControl/>
        <w:kinsoku/>
        <w:wordWrap/>
        <w:overflowPunct/>
        <w:topLinePunct w:val="0"/>
        <w:autoSpaceDE/>
        <w:autoSpaceDN/>
        <w:bidi w:val="0"/>
        <w:spacing w:beforeAutospacing="0" w:afterAutospacing="0" w:line="560" w:lineRule="exact"/>
        <w:ind w:left="0" w:leftChars="0" w:right="0" w:rightChars="0"/>
        <w:jc w:val="left"/>
        <w:textAlignment w:val="auto"/>
        <w:outlineLvl w:val="9"/>
        <w:rPr>
          <w:rFonts w:ascii="宋体" w:hAnsi="宋体" w:cs="宋体"/>
          <w:color w:val="000000"/>
          <w:kern w:val="0"/>
          <w:sz w:val="24"/>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Arial">
    <w:panose1 w:val="020B06040202020202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方正大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988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9885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8.65pt;mso-position-horizontal:outside;mso-position-horizontal-relative:margin;z-index:251658240;mso-width-relative:page;mso-height-relative:page;" filled="f" stroked="f" coordsize="21600,21600" o:gfxdata="UEsDBAoAAAAAAIdO4kAAAAAAAAAAAAAAAAAEAAAAZHJzL1BLAwQUAAAACACHTuJAqEW3xtYAAAAI&#10;AQAADwAAAGRycy9kb3ducmV2LnhtbE2PMU/DMBCFdyT+g3VILKi1naotDbl0QLCwUVjY3PiaRMTn&#10;KHaT0F+PO8H2Tu/03veK/ew6MdIQWs8IeqlAEFfetlwjfH68Lh5BhGjYms4zIfxQgH15e1OY3PqJ&#10;32k8xFqkEA65QWhi7HMpQ9WQM2Hpe+LknfzgTEznUEs7mCmFu05mSm2kMy2nhsb09NxQ9X04O4TN&#10;/NI/vO0omy5VN/LXRetIGvH+TqsnEJHm+PcMV/yEDmViOvoz2yA6hDQkIizW2ySu9nq7AnFEyFZa&#10;gSwL+X9A+QtQSwMEFAAAAAgAh07iQAFo/3vLAQAAbAMAAA4AAABkcnMvZTJvRG9jLnhtbK1TzY7T&#10;MBC+I/EOlu80aaWibNR0tWi1CAkB0sIDuI7TWLI9Zuw2KQ8Ab8CJC3eeq8/B2E27q+WG9uKMPX/f&#10;981kdT1aw/YKgwbX8Pms5Ew5Ca1224Z/+Xz3quIsROFaYcCphh9U4Nfrly9Wg6/VAnowrUJGRVyo&#10;B9/wPkZfF0WQvbIizMArR84O0IpIV9wWLYqBqltTLMrydTEAth5BqhDo9fbk5Otcv+uUjB+7LqjI&#10;TMMJW8wn5nOTzmK9EvUWhe+1nGCI/0BhhXbU9FLqVkTBdqj/KWW1RAjQxZkEW0DXaakyB2IzL5+w&#10;ue+FV5kLiRP8RabwfGXlh/0nZLql2XHmhKURHX/+OP76c/z9nc2TPIMPNUXde4qL4xsYU+j0Hugx&#10;sR47tOlLfBj5SejDRVw1Ribp8eqqqpZLziS55tWiqsqsfvGQ7THEtwosS0bDkYaXNRX79yFSRwo9&#10;h6RmDu60MXmAxrGBOiwXy5xw8VCGcZSYOJywJiuOm3EisIH2QLxogalhD/iNs4GWoeHh606g4sy8&#10;c6R22pyzgWdjczaEk5Ta8MjZzqPe9nnLEsTgb3aRYGb0qfWp34SIRppJTeuXdubxPUc9/CTr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hFt8bWAAAACAEAAA8AAAAAAAAAAQAgAAAAIgAAAGRycy9k&#10;b3ducmV2LnhtbFBLAQIUABQAAAAIAIdO4kABaP97ywEAAGw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2C12F3B"/>
    <w:rsid w:val="03406CEF"/>
    <w:rsid w:val="08574384"/>
    <w:rsid w:val="0A081A9C"/>
    <w:rsid w:val="20BD3DEC"/>
    <w:rsid w:val="27282E84"/>
    <w:rsid w:val="2B4471F0"/>
    <w:rsid w:val="2FB327DD"/>
    <w:rsid w:val="33E43AB9"/>
    <w:rsid w:val="3A4B0669"/>
    <w:rsid w:val="3CA317E9"/>
    <w:rsid w:val="3CE672ED"/>
    <w:rsid w:val="3D024725"/>
    <w:rsid w:val="3E4E0AD3"/>
    <w:rsid w:val="487D305D"/>
    <w:rsid w:val="4EED4562"/>
    <w:rsid w:val="543F50B9"/>
    <w:rsid w:val="658736D0"/>
    <w:rsid w:val="6CA86C9E"/>
    <w:rsid w:val="71BF683F"/>
    <w:rsid w:val="73E03C8A"/>
    <w:rsid w:val="757866A6"/>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2018-02-06T05:37:10Z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