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仿宋_GB2312" w:hAnsi="仿宋_GB2312" w:eastAsia="仿宋_GB2312" w:cs="仿宋_GB2312"/>
          <w:sz w:val="44"/>
          <w:szCs w:val="44"/>
        </w:rPr>
      </w:pPr>
      <w:r>
        <w:rPr>
          <w:rFonts w:hint="eastAsia" w:ascii="宋体" w:hAnsi="宋体" w:eastAsia="宋体" w:cs="宋体"/>
          <w:sz w:val="44"/>
          <w:szCs w:val="44"/>
        </w:rPr>
        <w:t>济南市电力管理条例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74" w:leftChars="321" w:right="690" w:rightChars="329"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1994年8月19日济南市第十届人民代表大会常务委员会第九次会议通过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1994年10月13日山东省第八届人民代表大会常务委员会第十次会议批准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9月19日济南市第十一届人民代表大会常务委员会第二十九次会议通过并经1997年10月15日山东省第八届人民代表大会常务委员会第三十次会议批准的《济南市人民代表大会常务委员会关于修改&lt;济南市电力管理条例&gt;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2011年5月25日济南市第十四届人民代表大会常务委员会第三十次会议修订通过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2011年7月29日山东省第十一届人民代表大会常务委员会第二十五次会议批准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第一章　总  则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电力规划与建设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电力供应与使用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电力设施保护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用户权益保障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附</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障电力事业的发展，满足经济社会和人民生活不断增长的用电需求，保证电力安全运行，规范电力管理秩序，维护电力企业和用户的合法权益，根据《中华人民共和国电力法》、《电力供应与使用条例》、《山东省电力设施和电能保护条例》等法律、法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本市行政区域内的电力规划、建设、生产、供应、使用、用户权益保障和监督管理，适用本条例。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电力规划、建设、生产、供应和使用应当遵循安全、有序、环保、节约的原则。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人民政府应当加强对电力管理工作的组织领导和行政执法队伍建设，建立健全工作协调机制，解决电力规划与建设、电力设施与电能保护、电力供应与使用中的重大问题，并将电力设施与电能保护纳入社会治安综合治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乡（镇）人民政府、街道办事处应当协助县级以上人民政府及有关部门做好电力设施与电能保护、电力供应与使用等工作。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市经济和信息化委员会是本市电力行政主管部门，负责全市电力事业的监督管理。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县（市、区）电力行政主管部门负责本行政区域内电力事业的监督管理。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发展改革、城乡建设、公安、国土资源、规划、环保、交通运输、水利、农业、林业、安全生产监督、住房保障管理、</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价格、市政公用、质监、园林、工商行政管理、铁路等部门应当按照各自职责，做好电力管理的相关工作。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电力企业依法实行自主经营、自负盈亏，并接受电力行政主管部门和相关部门的监督管理。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鼓励国内外的经济组织和个人依法投资电厂和电力设施建设，其投资权益受法律保护。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电力企业和用户应当执行国家有关的技术规程和技术标准，采用先进技术和管理方法，防治污染和其他公害。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任何单位和个人有依法用电的权利，有权举报和制止违反电力管理法律、法规的行为。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市、县（市、区）人民政府应当组织开展安全用电、有序用电、节约用电的宣传活动，并对为电力事业做出突出贡献的单位和个人给予表彰和奖励。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电力规划与建设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市发展改革部门应当会同政府有关部门组织编制全市电力发展规划，并纳入全市国民经济和社会发展规划。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市电力行政主管部门应当会同有关部门根据全市电力发展规划，组织编制全市电网专项规划，报市人民政府批准后公布实施。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县（市、区）人民政府应当根据全市电网专项规划的要求，组织编制本行政区域内的电网专项规划，报市电力行政主管部门和规划主管部门备案。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未经法定程序，任何单位和个人不得变更电力发展规划和电网专项规划。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市、县（市）人民政府应当按照土地利用总体规划、城乡规划、电力发展规划、电网专项规划，依法组织安排预留相应的电力设施用地、架空电力线路走廊和地下电缆通道（含管线共同沟）。</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市、县（市）人民政府有关部门不得在架空电力线路走廊和地下电缆通道（含管线共同沟）内批准其他妨碍电力设施安全的建设项目。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任何单位和个人不得违法占用电力设施用地、架空电力线路走廊和地下电缆通道（含管线共同沟）。</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电力建设项目取得建设工程规划许可证后，电力企业应当向其所在地电力行政主管部门提出申请，电力行政主管部门应当依法对需要划定的电力设施的保护范围和保护区进行公告。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对公告前已有的农作物、树木等植物，需损毁、修剪、砍伐的，电力企业应当依法办理相关手续，并按照国家和省有关规定进行补偿。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对公告后新增的可能危及电力设施安全的树木等植物，电力企业应当通知其所有人或者管理人修剪或者砍伐；不及时修剪或者砍伐的，电力企业可以依法修剪或者砍伐，对修剪或者砍伐的植物，不予补偿。</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公用工程、城市绿化工程和其他工程在建设中与电力设施相遇的，或者电力设施在建设中与公用工程、城市绿化工程和其他工程相遇的，双方应当按照国家有关规定协商，就迁移、跨越、安全防护措施和补偿等达成协议后施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架空电力线路跨越铁路、公路、航道, 依法需经铁路、交通、公安等相关部门或者单位同意的，应当事先取得同意。同意后，任何单位和个人不得收取费用，法律、法规另有规定的除外。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架空电力线路跨越林区，需要砍伐林木的，应当依法办理手续并交纳林木补偿费、林地补偿费和森林植被恢复费等费用。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架空电力线路不得跨越储存易燃易爆物品仓库的区域。新建、改建、扩建架空电力线路一般不得跨越房屋；确需跨越的，电力企业应当与房屋所有人达成补偿协议，并采取安全措施。被架空电力线路跨越的房屋不得再行增加高度。超越房屋的物体高度或者房屋周边延伸出的物体长度应当符合安全距离的要求。</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电力建设项目使用土地，应当依照有关法律、法规的规定办理。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架空电力线路走廊和杆、塔基础以及地下电缆通道建设，不实行征地。电力企业应当对杆、塔基础用地的土地承包经营权人或者集体土地所有权人或者建设用地使用权人依法给予补偿，具体补偿办法和标准由市人民政府制定。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架空电力线路的杆、塔基础占用土地的面积，按照以下规定计算: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(一)塔以其基础外露部分外侧向外延伸一米所形成的四边形；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(二)拉线杆、塔的主坑和拉线坑，以每坑二至三平方米；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(三)用以保护杆、塔基础的围堰或者挡土墙，以其实际占用面积。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新建住宅小区交付使用时，其用电应当纳入城市供电网络，并安装电力供应企业直接对最终用户供电的分户控制计量装置。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房地产开发企业应当承担符合城市规划要求及建筑设计规范的新建住宅小区配电设施用房等土建工程的配套建设，在售房合同中明示并保证提供永久用电及用电容量。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电力建设企业应当按照《山东省物业管理条例》等规定，根据国家标准和行业标准进行新建住宅小区内供电经营设施、设备的建设，并经电力供应企业验收合格后方可投入使用。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本条例实施前已建成和使用的住宅小区供电经营设施、设备未达到电力供应企业直接对最终用户实行分户控制计量供电条件的，由市、县（市、区）人民政府按照国家《物业管理条例》和《山东省物业管理条例》等相关规定制定具体实施办法予以解决。</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城市中心区进行电力线路建设时，条件许可的，应当实施地下敷设建设方案。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电力工程设计、施工、试验和运行应当符合国家标准。尚无国家标准的，应当符合行业标准。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输变电、调度通信自动化等电网配套工程、环境保护工程和安全设施应当与发电工程项目同时设计、同时建设、同时验收、同时使用。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电力供应与使用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市、县（市、区）人民政府及有关部门应当提倡节约用电，加强监督管理。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电力企业和用户应当依据国家标准和有关规定，制定节电计划，推广和采用节电的新技术、新设备和新工艺。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对于高能耗、环境污染严重、超耗能标准企业以及列入国家限制类、淘汰类生产设备的用电，应当按照国家和省有关规定实行差别电价或者惩罚性电价，依法限制用电或者终止供电。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市、县（市、区）人民政府应当组织制定电力需求侧管理标准和规划，积极筹措电力需求侧管理资金，推动电力需求侧管理工作。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电力行政主管部门应当建立健全安全、有序、高效的运行机制，组织实施电力需求侧管理，定期开展用电管理评价工作。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电力供应企业应当按照电力需求侧管理要求，加大电能保护资金投入，采用先进的科学技术和管理方法，降低电能损耗，优化供电方式，提高服务质量。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用户应当按照电力需求侧管理有关要求，加强受用电设备安全管理，配合电力行政主管部门做好用电管理评价工作。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电力行政主管部门应当按照国家政策和规定制定发电量计划。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电力生产企业（包括地方公用电厂和企业自备电厂）应当执行经批准的发电量计划，并服从全市电网统一调度。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电力行政主管部门应当制定并公布有序用电方案，优先保证居民生活和重要用户用电。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电力生产企业、电力供应企业和用户应当遵守有序用电方案，维护正常供用电秩序。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电力供应企业应当与用户依法签订供用电合同，明确双方的权利和义务。对合同约定的义务，双方都应当严格履行。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用户新装用电、临时用电、增加用电容量、变更用电和终止用电的，应当向电力供应企业提出申请，电力供应企业应当按照有关规定程序办理。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电力供应企业不得违反国家规定对符合条件申请用电的单位和个人拒绝供电。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在公共用电供电设施未到达的地区，电力供应企业可以委托有供电能力的用户就近供电，并签订协议。电力供应企业不得委托重要国防、军工用户向外转供电。用户不经电力供应企业同意，不得擅自向外转供电。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用户投资建设受送电设施，电力供应企业不得指定设计单位、施工单位、设备材料供应单位。用户投资建设受送电设施应当由有相应资质的设计、施工单位进行，并使用符合国家规定标准的设备或者材料。用户投资建设的受送电设施由电力供应企业按照国家规定标准进行验收。验收合格的予以供电，验收不合格的，应当将不合格原因一次性书面通知用户。用户对验收结果有异议的，可申请其所在地的电力行政主管部门组织复验。电力行政主管部门应当组织具有相应资质的机构复验。经复验，异议成立的，电力供应企业应当供电，并承担检验费用；异议不成立的，由用户承担检验费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供应企业应当按照国家标准或者行业标准参与用户受送电装置设计图纸的审核，对用户受送电装置隐蔽工程的施工过程实施监督。如有不符合规定的，应当以书面形式向用户提出意见，用户应当按设计和施工标准的规定予以改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重要用户根据国家有关规定配备了双电源、多电源、自备应急电源以及非电性质的应急装置等设施，并符合供电条件的，电力供应企业应当予以供电。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任何单位和个人不得损毁、改装或者擅自移动用电计量装置及相关装置。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任何单位和个人不得以非法占有电能为目的，实施下列窃电行为：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（一）在电力供应企业的供电设施或者他人的电力设施上擅自接线用电;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（二）绕越法定的用电计量装置用电；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（三）伪造或者开启计量检定机构加封的用电计量装置封印用电;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（四）以改变接线等方式故意使用电计量装置计量不准或者失效用电;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（五）擅自变更计量用电压互感器和电流互感器变比等计量设备参数，造成电费损失；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（六）擅自改变用电类别用电；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（七）使用电费卡非法充值后用电;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（八）其他窃电行为。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禁止胁迫、指使、协助他人窃电或者向他人传授窃电方法。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禁止生产、销售、出租窃电装置。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电力供应企业应当按照国家有关用电检查管理的规定对用户用电情况进行检查。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用电检查人员进行检查时，不得少于两人，并应当出示由电力行政主管部门颁发的《用电检查证》，制作用电安全检查记录。被检查的用户应当予以配合。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用电检查人员在检查时发现窃电行为的，应当予以制止，可以通过录像、拍照、现场保存窃电装置等方式保存窃电的证据，并应当及时报告电力行政主管部门或者公安机关依法处理。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电力企业应当保障电能质量符合国家标准，在发、供电系统正常运行的情况下，应当按照供用电合同的规定连续向用户供电，不得无故中断。但有下列情形之一的，电力供应企业按照国家有关规定可以中止供电：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（一）遭遇不可抗力或者紧急避险的；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（二）有证据表明用户有窃电行为的；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（三）用户运行中的受电设施不符合有关安全规范和标准，经整改仍不合格的；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（四）用户的用电设备对电能质量产生干扰与妨碍，经整改仍不合格的；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（五）用户在限期内不拆除私增用电容量设施或者设备的；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（六）用户擅自转供电的；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（七）用户违反安全用电规定用电，危害供用电安全，扰乱供用电秩序拒绝接受检查或者拒不改正的；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（八）电力设施计划检修、临时故障检修的；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（九）用户在电力设施保护区内实施违法作业的；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（十）其他严重影响供电质量、电网安全或者破坏正常供用电秩序的情形。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电力供应企业实施中止供电，应当遵守下列规定：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（一）因供电设施计划检修的，应当提前七日通知用户或者进行公告；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（二）因供电设施临时检修的，应当提前二十四小时向社会公告并通知重要用户；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（三）因本条例第三十四条第三、四项情形需要中止供电的，应当提前七日通知用户；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（四）采取防范设备重大损失、人身伤害的措施；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（五）不影响其他用户正常用电；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（六）不影响社会公共利益或者社会公共安全。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对高危行业和连续性生产企业中止供电，应当报请所在地电力行政主管部门批准。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因发电、供电系统发生故障的，应当按照有序用电方案确定的限电序位中止供电或者限电。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用户对电力供应企业中止供电有异议的，可以向电力供应企业查询，也可以向所在地县（市、区）人民政府电力行政主管部门投诉。电力行政主管部门应当依法受理，并在三个工作日内予以答复。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在电力供应企业实施中止供电后，具备下列情形之一的，电力供应企业应当在二十四小时内恢复供电：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（一）被中止供电的用户消除对电网安全和电能供应影响，且具备安全用电条件的；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（二）停止窃电行为并承担了相应民事责任或者依法提供了担保的；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（三）其他引起中止供电或者限电原因消除，且具备安全用电条件的。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电力设施保护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电力设施保护范围和保护区按照国家和省有关规定进行保护。</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电力设施产权人应当根据国家和省的规定建立健全安全管理制度和内部治安保卫工作制度，设立并维护电力设施安全警示标志；按照国家规范和技术标准对电力设施进行巡视、维护、检修，及时消除隐患。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对危害电力设施安全的行为，电力设施产权人应当予以制止并有权要求恢复原状、排除妨害、赔偿损失，或者请求电力行政主管部门和公安机关依法处理。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在发生自然灾害或者其他突发事件可能危及电力设施安全的紧急情况时，电力设施产权人可以先行采取措施，防止危害电力设施安全的事故发生或者最大程度减轻事故危害；采取紧急措施后，应当及时报告电力行政主管部门并告知利害关系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任何单位和个人不得实施下列危害电力设施的行为：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（一）盗窃、破坏、哄抢电力设施及器材；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（二）损坏发电厂、变电站、水电站的建（构）筑物；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（三）拆卸变压器及其附属设施，堵塞发电设施附属的输油、供水、供热、排灰、送汽等管道；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（四）损坏、封堵发电厂、变电站的铁路专用线、专用公路或者专用码头；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（五）损坏、擅自移动、涂改电力设施标志；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（六）在火力发电厂冷却池、输水管道、沟渠的进出水口禁区范围内游泳、捕鱼；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（七）在水底电缆和水电厂禁区范围内游泳、捕鱼、停泊船筏、抛锚、拖锚、挖沙取土；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（八）在电力线路杆塔、拉线基础规定范围内和地下电缆保护区内取土、开挖、打桩、钻探、堆放物品，修建建（构）筑物或者倾倒酸、碱、盐及其他有害化学物品；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（九）违章攀爬变压器台架、电力杆塔，擅自在电力杆塔上搭挂各类缆线、广播器材和广告牌等外挂装置，未经电力设施产权人许可在电力设施上安装其他设施； </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（十）向导线抛掷物体；</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（十一）擅自在电缆沟道中铺设各类缆线，向电缆沟内排放污水，在电缆井盖附近堆放易燃易爆物品；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（十二）在电力设施保护范围或者保护区内钓鱼、燃放烟花爆竹或者放风筝、气球及其他空中物体；</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（十三）更改、涂抹电杆警示、标志符号或者利用变电所、配电室为依托搭建房屋等；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（十四）法律、法规禁止的危害电力设施的其他行为。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任何单位和个人不得在架空电力线路保护区内实施下列行为：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（一）新建、改建、扩建可能危及电力设施安全的建（构）筑物；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（二）种植可能危及电力设施安全的植物；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（三）实施影响导线对地安全距离的填埋、铺垫；</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（四）堆放谷物、草料、垃圾、矿渣、易燃物、易爆物及其他影响安全供电的物品。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单位和个人从事下列活动，应当制定安全措施并经县级以上人民政府电力行政主管部门同意：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（一）在架空电力线路保护区和电力电缆线路保护区内从事起重机械施工作业，或者进行农田水利基本建设及打桩、钻探、挖掘等作业；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（二）与架空电力导线的垂直距离小于国家规定安全距离的或者超过四米高度的运输机械及装载物通过架空电力线路保护区。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前款规定的作业事项需要电力设施产权人提供协助的，电力设施产权人应当予以配合，产生的费用由作业单位或者个人承担。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在距电力设施周围五百米范围内（指水平距离）进行爆破作业，应当制定安全措施并经电力行政主管部门批准。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因建设需要，必须对已建成的电力设施及其附属设施迁移、改造的，建设单位应当事先与电力设施产权人协商，并依法办理有关手续。建设单位与电力设施产权人协商不一致的，可以提请电力行政主管部门处理。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电网调度管理按照国家有关规定执行。未经值班调度人员许可，任何人不得操作调度机构调度管辖范围内的设备。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电网运行遇有危及人身及设备安全的情况时，发电厂、变电站的运行值班单位的值班人员可以按照有关规定处理，处理后应当立即报告有关调度机构的值班人员。</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用户权益保障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电力供应企业应当在营业场所公示用电办理程序、服务规范、收费项目和标准，并提供用电量、电价、电费以及相关事项的查询服务，用户对查询结果有异议的，电力供应企业应当自提出异议之日起三个工作日内予以处理并答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住宅用户达到电力供应企业直接对最终用户实行分户控制计量供电条件的，电力供应企业应当抄表到户，并承担分户控制计量装置以外供电设施、设备的维修、养护、更新等责任及相关费用。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电力供应企业应当按照价格行政主管部门核准的电价和国家法定计量检定机构检定的用电计量装置的记录，按照合同约定的期限和方式向用户收取电费。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任何单位和个人不得擅自变更电价、加价收取电费。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电力供应企业定期检验、轮换用于结算收费的用电计量装置时，费用由电力供应企业承担，用户应当予以配合。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发现用于结算收费的用电计量装置发生故障、损坏或者丢失，应当及时告知电力供应企业；电力供应企业应当及时处理。因用电计量装置故障造成计量值不准的，应当按照国家《供电营业规则》的规定退补电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电力供应企业不得实施下列损害用户合法权益的行为：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（一）违反规定中止供电，无故拖延供电；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（二）自立收费项目，擅自更改收费标准；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（三）对用户投诉、咨询推诿塞责，不及时处理；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（四）不按照规定序位限电；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（五）其他损害用户合法权益的行为。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物业服务企业或者其他负有管理职责的单位，不得以用户欠交物业管理费用或者其他原因中止对用户的供电。</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 xml:space="preserve"> 电力行政主管部门应当建立投诉、举报受理制度，公开投诉、举报电话和电子邮箱，受理相关的投诉和举报，并及时作出处理。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电力行政主管部门及其工作人员应当为举报人、投诉人保密。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 xml:space="preserve"> 电力行政主管部门应当建立健全监督检查机制，依法对电力企业和用户遵守电力法律、法规的情况进行监督检查，协调处理电力设施保护和供用电秩序方面的纠纷，维护公共安全、公共利益以及电力企业和用户的合法权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电力行政主管部门依法监督电力市场，及时检查电力设施建设、发电量计划执行和电网统一调配情况，并采取相应措施，保护市场公平竞争。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电力行政主管部门执法人员进行监督检查时，应当出示执法证件，有权向电力企业或者用户了解有关执行电力法律、法规的情况，查阅有关资料，进入现场进行检查，为被检查单位和个人保守商业秘密和技术秘密。电力企业和用户应当予以配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电力行政主管部门应当建立与发展改革、规划、城乡建设、价格、林业、公安等相关部门的配合协作机制，就电力管理中的重大问题及时会商处理。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第五十八条 </w:t>
      </w:r>
      <w:r>
        <w:rPr>
          <w:rFonts w:hint="eastAsia" w:ascii="仿宋_GB2312" w:hAnsi="仿宋_GB2312" w:eastAsia="仿宋_GB2312" w:cs="仿宋_GB2312"/>
          <w:sz w:val="32"/>
          <w:szCs w:val="32"/>
        </w:rPr>
        <w:t xml:space="preserve"> 公安机关应当依法查处破坏电力设施、哄抢或者盗窃电力设施器材设备，非法出售、收购废旧电力设施器材设备和盗窃电能的违法行为。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电力供应企业应当依法取得供电营业许可证后从事供电业务，并接受电力行政主管部门的监督管理。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电力突发事件发生后，电力企业应当按照国家有关规定立即向县（市、区）人民政府和电力监管机构及其他有关部门报告。县（市、区）人民政府应当启动本级电力突发事件应急预案，组织开展救援工作。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电力企业和重要用户应当按照应急预案，开展组织排险抢修，尽快恢复电力正常运行。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违反本条例第十二条第三款规定，违法占用电力设施用地、架空电力线路走廊和地下电缆通道（含管线共同沟）的，由国土资源管理部门、城市管理行政执法部门依照有关法律、法规的规定给予处罚。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条例第二十七条第二款、第三十四条、第三十五条、第三十七条、第五十一条第一项和第四项规定，电力供应企业无故中断供电、拒绝供电或者未在规定时间内恢复供电的，由电力行政主管部门依法给予处罚。给用户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 违反本条例第四十七条、第五十一条第三项规定，电力供应企业未实施规范公示或者未提供相应查询服务，对用户投诉、咨询推诿塞责，不及时处理的，由电力行政主管部门责令改正；情节严重的，依法给予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违反本条例第二十八条规定，擅自向外转供电的，由电力行政主管部门责令改正，没收违法所得，可以并处违法所得五倍以下的罚款。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违反本条例第二十九条规定，电力供应企业指定设计、施工和设备材料供应单位的，由市工商行政管理部门根据《中华人民共和国反不正当竞争法》等规定依法给予处罚。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违反本条例第四十九条第一款规定，用电计量装置未经国家法定计量检定机构检定的，由质量技术监督部门依法给予处罚。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 xml:space="preserve"> 违反本条例第三十一条规定，损毁、改装、擅自移动用电计量装置及相关装置的，由电力行政主管部门责令限期改正并赔偿损失；逾期不改正的，处一万元以下罚款。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违反本条例第三十二条第一款规定窃电的，由电力行政主管部门责令停止违法行为，限期补交电费，并处应交电费五倍以下的罚款；因窃电造成电力设施损坏或者他人人身财产损害的，窃电者应当依法承担赔偿责任；构成违反治安管理行为的，由公安机关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违反本条例第三十二条第二、三款规定，胁迫、指使、协助他人窃电、传授窃电方法或者生产、销售、出租窃电装置的，由公安机关依法查处。构成犯罪的，依法追究刑事责任。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 xml:space="preserve"> 违反本条例第四十九条第二款、第五十一条第二项规定，自立收费项目、擅自更改收费标准或者加价收取电费的，由价格行政主管部门依法给予处罚。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第七十条  </w:t>
      </w:r>
      <w:r>
        <w:rPr>
          <w:rFonts w:hint="eastAsia" w:ascii="仿宋_GB2312" w:hAnsi="仿宋_GB2312" w:eastAsia="仿宋_GB2312" w:cs="仿宋_GB2312"/>
          <w:sz w:val="32"/>
          <w:szCs w:val="32"/>
        </w:rPr>
        <w:t>违反本条例第三十九条第一款规定，电力设施产权人未设立电力设施安全警示标志的，由电力行政主管部门责令限期改正；逾期不改正的，处一万元以上五万元以下罚款。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违反本条例第四十一条、第四十二条规定，有危害电力设施行为的，按照国务院《电力设施保护条例》和《山东省电力设施和电能保护条例》的有关规定处理。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擅自在电力设施上安装其他设施的，电力设施产权人可以拆除，费用由安装人承担。</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第七十二条  </w:t>
      </w:r>
      <w:r>
        <w:rPr>
          <w:rFonts w:hint="eastAsia" w:ascii="仿宋_GB2312" w:hAnsi="仿宋_GB2312" w:eastAsia="仿宋_GB2312" w:cs="仿宋_GB2312"/>
          <w:sz w:val="32"/>
          <w:szCs w:val="32"/>
        </w:rPr>
        <w:t>违反本条例第四十三条、第四十四条规定，未经批准或者未采取安全措施进行作业，危及电力设施安全的，由电力行政主管部门责令停止作业、恢复原状并赔偿损失。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第七十三条  </w:t>
      </w:r>
      <w:r>
        <w:rPr>
          <w:rFonts w:hint="eastAsia" w:ascii="仿宋_GB2312" w:hAnsi="仿宋_GB2312" w:eastAsia="仿宋_GB2312" w:cs="仿宋_GB2312"/>
          <w:sz w:val="32"/>
          <w:szCs w:val="32"/>
        </w:rPr>
        <w:t>电力行政主管部门和其他有关部门及其工作人员在电力管理工作中有下列行为之一的，依法给予处分；构成犯罪的，依法追究刑事责任：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（一）擅自变更电力发展规划和电网专项规划的；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（二）在架空电力线路走廊和地下电缆通道（含管线共同沟）内批准其他妨碍电力设施安全的建设项目的；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（三）受理举报、投诉案件未及时处理的；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（四）徇私舞弊，对电力违法行为不予查处的；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（五）利用职权侵犯他人合法权益的；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（六）泄露检查中知悉的商业秘密或者举报人情况的；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（七）将罚没财物据为己有的；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电力企业，是指电力建设企业、电力生产企业、电力供应企业。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用户，是指与电力供应企业订立供用电合同的用电人，或者虽没有订立供用电合同但与电力供应企业存在事实供用电关系的用电人。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要用户，是指在本市社会、政治、经济生活中占有重要地位，对其中断供电将可能造成人身伤亡、较大环境污染、较大政治影响、较大经济损失、社会公共秩序严重混乱的用电单位或者对供电可靠性有特殊要求的用电场所的用电单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电力需求侧管理，是指通过提高电力资源利用效率和优化用电方式，在完成同样用电功能的同时减少电量消耗和电力需求，达到节约能源和保护环境，实现低成本电力服务所进行的用电管理活动。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rPr>
        <w:t>　本条例自2011年10月1日起施行。</w:t>
      </w: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-38100</wp:posOffset>
              </wp:positionV>
              <wp:extent cx="455930" cy="1974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55930" cy="197485"/>
                      </a:xfrm>
                      <a:prstGeom prst="rect">
                        <a:avLst/>
                      </a:prstGeom>
                      <a:noFill/>
                      <a:ln w="9525">
                        <a:noFill/>
                      </a:ln>
                    </wps:spPr>
                    <wps:txbx>
                      <w:txbxContent>
                        <w:p>
                          <w:pPr>
                            <w:pStyle w:val="2"/>
                            <w:rPr>
                              <w:rStyle w:val="5"/>
                            </w:rPr>
                          </w:pPr>
                          <w:r>
                            <w:fldChar w:fldCharType="begin"/>
                          </w:r>
                          <w:r>
                            <w:rPr>
                              <w:rStyle w:val="5"/>
                            </w:rPr>
                            <w:instrText xml:space="preserve">PAGE  </w:instrText>
                          </w:r>
                          <w:r>
                            <w:fldChar w:fldCharType="separate"/>
                          </w:r>
                          <w:r>
                            <w:rPr>
                              <w:rStyle w:val="5"/>
                            </w:rPr>
                            <w:t>- 2 -</w:t>
                          </w:r>
                          <w:r>
                            <w:fldChar w:fldCharType="end"/>
                          </w:r>
                        </w:p>
                      </w:txbxContent>
                    </wps:txbx>
                    <wps:bodyPr vert="horz" wrap="square" lIns="0" tIns="0" rIns="0" bIns="0" anchor="t" upright="0">
                      <a:noAutofit/>
                    </wps:bodyPr>
                  </wps:wsp>
                </a:graphicData>
              </a:graphic>
            </wp:anchor>
          </w:drawing>
        </mc:Choice>
        <mc:Fallback>
          <w:pict>
            <v:shape id="_x0000_s1026" o:spid="_x0000_s1026" o:spt="202" type="#_x0000_t202" style="position:absolute;left:0pt;margin-top:-3pt;height:15.55pt;width:35.9pt;mso-position-horizontal:outside;mso-position-horizontal-relative:margin;z-index:251658240;mso-width-relative:page;mso-height-relative:page;" filled="f" stroked="f" coordsize="21600,21600" o:gfxdata="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g+v8dgAAAAIAQAADwAAAAAAAAABACAAAAAiAAAAZHJz&#10;L2Rvd25yZXYueG1sUEsBAhQAFAAAAAgAh07iQL4D+XnLAQAAawMAAA4AAAAAAAAAAQAgAAAAJwEA&#10;AGRycy9lMm9Eb2MueG1sUEsFBgAAAAAGAAYAWQEAAGQFAAAAAA==&#10;">
              <v:fill on="f" focussize="0,0"/>
              <v:stroke on="f"/>
              <v:imagedata o:title=""/>
              <o:lock v:ext="edit" aspectratio="f"/>
              <v:textbox inset="0mm,0mm,0mm,0mm">
                <w:txbxContent>
                  <w:p>
                    <w:pPr>
                      <w:pStyle w:val="2"/>
                      <w:rPr>
                        <w:rStyle w:val="5"/>
                      </w:rPr>
                    </w:pPr>
                    <w:r>
                      <w:fldChar w:fldCharType="begin"/>
                    </w:r>
                    <w:r>
                      <w:rPr>
                        <w:rStyle w:val="5"/>
                      </w:rPr>
                      <w:instrText xml:space="preserve">PAGE  </w:instrText>
                    </w:r>
                    <w:r>
                      <w:fldChar w:fldCharType="separate"/>
                    </w:r>
                    <w:r>
                      <w:rPr>
                        <w:rStyle w:val="5"/>
                      </w:rPr>
                      <w:t>- 2 -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7E9"/>
    <w:rsid w:val="00312290"/>
    <w:rsid w:val="00630130"/>
    <w:rsid w:val="007F1C43"/>
    <w:rsid w:val="008A2DA7"/>
    <w:rsid w:val="008C07E9"/>
    <w:rsid w:val="009621A6"/>
    <w:rsid w:val="009A6314"/>
    <w:rsid w:val="00B042D2"/>
    <w:rsid w:val="1B15067D"/>
    <w:rsid w:val="238262ED"/>
    <w:rsid w:val="296214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1557</Words>
  <Characters>8880</Characters>
  <Lines>74</Lines>
  <Paragraphs>20</Paragraphs>
  <ScaleCrop>false</ScaleCrop>
  <LinksUpToDate>false</LinksUpToDate>
  <CharactersWithSpaces>10417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2016-09-07T08:50:00Z</dcterms:created>
  <dc:creator>Lenovo User</dc:creator>
  <cp:lastModifiedBy>pc</cp:lastModifiedBy>
  <dcterms:modified xsi:type="dcterms:W3CDTF">2017-01-10T09:07:35Z</dcterms:modified>
  <dc:title>济南市电力管理条例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