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40" w:lineRule="exact"/>
        <w:jc w:val="center"/>
        <w:rPr>
          <w:rFonts w:ascii="宋体" w:hAnsi="宋体" w:eastAsia="宋体" w:cs="方正小标宋简体"/>
          <w:snapToGrid/>
          <w:color w:val="000000"/>
          <w:kern w:val="2"/>
          <w:sz w:val="44"/>
          <w:szCs w:val="44"/>
          <w:lang w:bidi="ar"/>
        </w:rPr>
      </w:pPr>
    </w:p>
    <w:p>
      <w:pPr>
        <w:snapToGrid w:val="0"/>
        <w:spacing w:line="540" w:lineRule="exact"/>
        <w:jc w:val="center"/>
        <w:rPr>
          <w:rFonts w:ascii="宋体" w:hAnsi="宋体" w:eastAsia="宋体" w:cs="方正小标宋简体"/>
          <w:snapToGrid/>
          <w:color w:val="000000"/>
          <w:kern w:val="2"/>
          <w:sz w:val="44"/>
          <w:szCs w:val="44"/>
          <w:lang w:bidi="ar"/>
        </w:rPr>
      </w:pPr>
    </w:p>
    <w:p>
      <w:pPr>
        <w:snapToGrid w:val="0"/>
        <w:spacing w:line="540" w:lineRule="exact"/>
        <w:jc w:val="center"/>
        <w:rPr>
          <w:rFonts w:ascii="宋体" w:hAnsi="宋体" w:eastAsia="宋体" w:cs="方正小标宋简体"/>
          <w:snapToGrid/>
          <w:color w:val="000000"/>
          <w:kern w:val="2"/>
          <w:sz w:val="44"/>
          <w:szCs w:val="44"/>
          <w:lang w:bidi="ar"/>
        </w:rPr>
      </w:pPr>
      <w:r>
        <w:rPr>
          <w:rFonts w:hint="eastAsia" w:ascii="宋体" w:hAnsi="宋体" w:eastAsia="宋体" w:cs="方正小标宋简体"/>
          <w:snapToGrid/>
          <w:color w:val="000000"/>
          <w:kern w:val="2"/>
          <w:sz w:val="44"/>
          <w:szCs w:val="44"/>
          <w:lang w:bidi="ar"/>
        </w:rPr>
        <w:t>济南市禁止燃放烟花爆竹的规定</w:t>
      </w:r>
    </w:p>
    <w:p>
      <w:pPr>
        <w:snapToGrid w:val="0"/>
        <w:spacing w:line="260" w:lineRule="exact"/>
        <w:jc w:val="center"/>
        <w:rPr>
          <w:rFonts w:ascii="宋体" w:hAnsi="宋体" w:eastAsia="宋体" w:cs="方正小标宋简体"/>
          <w:color w:val="000000"/>
          <w:kern w:val="2"/>
          <w:sz w:val="44"/>
          <w:szCs w:val="44"/>
        </w:rPr>
      </w:pPr>
    </w:p>
    <w:p>
      <w:pPr>
        <w:snapToGrid w:val="0"/>
        <w:spacing w:line="540" w:lineRule="exact"/>
        <w:ind w:left="708" w:leftChars="200" w:right="621" w:rightChars="194" w:hanging="68"/>
        <w:rPr>
          <w:rFonts w:ascii="楷体_GB2312" w:hAnsi="方正小标宋简体" w:eastAsia="楷体_GB2312" w:cs="方正小标宋简体"/>
          <w:color w:val="000000"/>
          <w:kern w:val="2"/>
        </w:rPr>
      </w:pP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（</w:t>
      </w:r>
      <w:r>
        <w:rPr>
          <w:rFonts w:hint="eastAsia" w:ascii="楷体_GB2312" w:hAnsi="方正小标宋简体" w:eastAsia="楷体_GB2312" w:cs="方正小标宋简体"/>
          <w:color w:val="000000"/>
          <w:kern w:val="2"/>
          <w:lang w:bidi="ar"/>
        </w:rPr>
        <w:t>2017</w:t>
      </w: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年</w:t>
      </w:r>
      <w:r>
        <w:rPr>
          <w:rFonts w:hint="eastAsia" w:ascii="楷体_GB2312" w:hAnsi="方正小标宋简体" w:eastAsia="楷体_GB2312" w:cs="方正小标宋简体"/>
          <w:color w:val="000000"/>
          <w:kern w:val="2"/>
          <w:lang w:bidi="ar"/>
        </w:rPr>
        <w:t>8</w:t>
      </w: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月</w:t>
      </w:r>
      <w:r>
        <w:rPr>
          <w:rFonts w:hint="eastAsia" w:ascii="楷体_GB2312" w:hAnsi="方正小标宋简体" w:eastAsia="楷体_GB2312" w:cs="方正小标宋简体"/>
          <w:color w:val="000000"/>
          <w:kern w:val="2"/>
          <w:lang w:bidi="ar"/>
        </w:rPr>
        <w:t>25</w:t>
      </w: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日济南市第十六届人民代表大会常务委员会第五次会议通过</w:t>
      </w:r>
      <w:r>
        <w:rPr>
          <w:rFonts w:hint="eastAsia" w:ascii="楷体_GB2312" w:hAnsi="方正小标宋简体" w:eastAsia="楷体_GB2312" w:cs="方正小标宋简体"/>
          <w:color w:val="000000"/>
          <w:kern w:val="2"/>
          <w:lang w:bidi="ar"/>
        </w:rPr>
        <w:t xml:space="preserve">  2017</w:t>
      </w: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年</w:t>
      </w:r>
      <w:r>
        <w:rPr>
          <w:rFonts w:hint="eastAsia" w:ascii="楷体_GB2312" w:hAnsi="方正小标宋简体" w:eastAsia="楷体_GB2312" w:cs="方正小标宋简体"/>
          <w:color w:val="000000"/>
          <w:kern w:val="2"/>
          <w:lang w:bidi="ar"/>
        </w:rPr>
        <w:t>9</w:t>
      </w: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月</w:t>
      </w:r>
      <w:r>
        <w:rPr>
          <w:rFonts w:hint="eastAsia" w:ascii="楷体_GB2312" w:hAnsi="方正小标宋简体" w:eastAsia="楷体_GB2312" w:cs="方正小标宋简体"/>
          <w:color w:val="000000"/>
          <w:kern w:val="2"/>
          <w:lang w:bidi="ar"/>
        </w:rPr>
        <w:t>30</w:t>
      </w: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日山东省第十二届人民代表大会常务委员会第三十二次会议批准</w:t>
      </w:r>
      <w:r>
        <w:rPr>
          <w:rFonts w:hint="eastAsia" w:ascii="楷体_GB2312" w:hAnsi="方正小标宋简体" w:eastAsia="楷体_GB2312" w:cs="方正小标宋简体"/>
          <w:color w:val="000000"/>
          <w:kern w:val="2"/>
          <w:lang w:bidi="ar"/>
        </w:rPr>
        <w:t xml:space="preserve">  </w:t>
      </w: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根据</w:t>
      </w:r>
      <w:r>
        <w:rPr>
          <w:rFonts w:hint="eastAsia" w:ascii="楷体_GB2312" w:hAnsi="方正小标宋简体" w:eastAsia="楷体_GB2312" w:cs="方正小标宋简体"/>
          <w:color w:val="000000"/>
          <w:kern w:val="2"/>
          <w:lang w:bidi="ar"/>
        </w:rPr>
        <w:t>2019</w:t>
      </w: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年</w:t>
      </w:r>
      <w:r>
        <w:rPr>
          <w:rFonts w:hint="eastAsia" w:ascii="楷体_GB2312" w:hAnsi="方正小标宋简体" w:eastAsia="楷体_GB2312" w:cs="方正小标宋简体"/>
          <w:color w:val="000000"/>
          <w:kern w:val="2"/>
          <w:lang w:bidi="ar"/>
        </w:rPr>
        <w:t>1</w:t>
      </w: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月</w:t>
      </w:r>
      <w:r>
        <w:rPr>
          <w:rFonts w:hint="eastAsia" w:ascii="楷体_GB2312" w:hAnsi="方正小标宋简体" w:eastAsia="楷体_GB2312" w:cs="方正小标宋简体"/>
          <w:color w:val="000000"/>
          <w:kern w:val="2"/>
          <w:lang w:bidi="ar"/>
        </w:rPr>
        <w:t>31</w:t>
      </w: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日济南市第十七届人民代表大会常务委员会第一次会议通过并经</w:t>
      </w:r>
      <w:r>
        <w:rPr>
          <w:rFonts w:hint="eastAsia" w:ascii="楷体_GB2312" w:hAnsi="方正小标宋简体" w:eastAsia="楷体_GB2312" w:cs="方正小标宋简体"/>
          <w:color w:val="000000"/>
          <w:kern w:val="2"/>
          <w:lang w:bidi="ar"/>
        </w:rPr>
        <w:t>2019</w:t>
      </w: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年</w:t>
      </w:r>
      <w:r>
        <w:rPr>
          <w:rFonts w:hint="eastAsia" w:ascii="楷体_GB2312" w:hAnsi="方正小标宋简体" w:eastAsia="楷体_GB2312" w:cs="方正小标宋简体"/>
          <w:color w:val="000000"/>
          <w:kern w:val="2"/>
          <w:lang w:bidi="ar"/>
        </w:rPr>
        <w:t>2</w:t>
      </w: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月</w:t>
      </w:r>
      <w:r>
        <w:rPr>
          <w:rFonts w:hint="eastAsia" w:ascii="楷体_GB2312" w:hAnsi="方正小标宋简体" w:eastAsia="楷体_GB2312" w:cs="方正小标宋简体"/>
          <w:color w:val="000000"/>
          <w:kern w:val="2"/>
          <w:lang w:bidi="ar"/>
        </w:rPr>
        <w:t>12</w:t>
      </w: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日山东省第十三届人民代表大会常务委员会第十次会议批准的</w:t>
      </w:r>
      <w:r>
        <w:rPr>
          <w:rFonts w:hint="eastAsia" w:ascii="楷体_GB2312" w:hAnsi="Calibri" w:eastAsia="楷体_GB2312" w:cs="楷体_GB2312"/>
          <w:snapToGrid/>
          <w:kern w:val="2"/>
          <w:lang w:bidi="ar"/>
        </w:rPr>
        <w:t>《济南市人民代表大会常务委员会关于修改</w:t>
      </w:r>
      <w:r>
        <w:rPr>
          <w:rFonts w:hint="eastAsia" w:ascii="楷体_GB2312" w:hAnsi="Calibri" w:eastAsia="楷体_GB2312" w:cs="楷体_GB2312"/>
          <w:kern w:val="2"/>
          <w:lang w:bidi="ar"/>
        </w:rPr>
        <w:t>&lt;</w:t>
      </w:r>
      <w:r>
        <w:rPr>
          <w:rFonts w:hint="eastAsia" w:ascii="楷体_GB2312" w:hAnsi="Calibri" w:eastAsia="楷体_GB2312" w:cs="楷体_GB2312"/>
          <w:snapToGrid/>
          <w:kern w:val="2"/>
          <w:lang w:bidi="ar"/>
        </w:rPr>
        <w:t>济南市禁止燃放烟花爆竹的规定</w:t>
      </w:r>
      <w:r>
        <w:rPr>
          <w:rFonts w:hint="eastAsia" w:ascii="楷体_GB2312" w:hAnsi="Calibri" w:eastAsia="楷体_GB2312" w:cs="楷体_GB2312"/>
          <w:kern w:val="2"/>
          <w:lang w:bidi="ar"/>
        </w:rPr>
        <w:t>&gt;</w:t>
      </w:r>
      <w:r>
        <w:rPr>
          <w:rFonts w:hint="eastAsia" w:ascii="楷体_GB2312" w:hAnsi="Calibri" w:eastAsia="楷体_GB2312" w:cs="楷体_GB2312"/>
          <w:snapToGrid/>
          <w:kern w:val="2"/>
          <w:lang w:bidi="ar"/>
        </w:rPr>
        <w:t>的决定》修正</w:t>
      </w:r>
      <w:r>
        <w:rPr>
          <w:rFonts w:hint="eastAsia" w:ascii="楷体_GB2312" w:hAnsi="方正小标宋简体" w:eastAsia="楷体_GB2312" w:cs="方正小标宋简体"/>
          <w:snapToGrid/>
          <w:color w:val="000000"/>
          <w:kern w:val="2"/>
          <w:lang w:bidi="ar"/>
        </w:rPr>
        <w:t>）</w:t>
      </w:r>
    </w:p>
    <w:p>
      <w:pPr>
        <w:snapToGrid w:val="0"/>
        <w:spacing w:line="540" w:lineRule="exact"/>
        <w:ind w:firstLine="641"/>
        <w:rPr>
          <w:rFonts w:ascii="宋体" w:hAnsi="宋体" w:eastAsia="宋体" w:cs="方正小标宋简体"/>
          <w:snapToGrid/>
          <w:color w:val="000000"/>
          <w:kern w:val="2"/>
        </w:rPr>
      </w:pPr>
    </w:p>
    <w:p>
      <w:pPr>
        <w:snapToGrid w:val="0"/>
        <w:spacing w:line="540" w:lineRule="exact"/>
        <w:ind w:firstLine="641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黑体" w:hAnsi="宋体" w:eastAsia="黑体" w:cs="黑体"/>
          <w:snapToGrid/>
          <w:color w:val="000000"/>
          <w:kern w:val="2"/>
          <w:lang w:bidi="ar"/>
        </w:rPr>
        <w:t>第一条</w:t>
      </w:r>
      <w:r>
        <w:rPr>
          <w:rFonts w:hint="eastAsia" w:ascii="仿宋_GB2312" w:hAnsi="仿宋_GB2312" w:cs="仿宋_GB2312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为了保障公共安全和人身、财产安全，改善大气环境质量，控制噪声污染，推进现代城市文明建设，根据《中华人民共和国环境保护法》和《烟花爆竹安全管理条例》等法律、法规相关规定，结合本市实际，制定本规定。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黑体" w:hAnsi="宋体" w:eastAsia="黑体" w:cs="黑体"/>
          <w:snapToGrid/>
          <w:color w:val="000000"/>
          <w:kern w:val="2"/>
          <w:lang w:bidi="ar"/>
        </w:rPr>
        <w:t>第二条</w:t>
      </w:r>
      <w:r>
        <w:rPr>
          <w:rFonts w:hint="eastAsia" w:ascii="仿宋_GB2312" w:hAnsi="仿宋_GB2312" w:cs="仿宋_GB2312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本市行政区域内禁止燃放烟花爆竹的活动，适用本规定。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黑体" w:hAnsi="宋体" w:eastAsia="黑体" w:cs="黑体"/>
          <w:snapToGrid/>
          <w:color w:val="000000"/>
          <w:kern w:val="2"/>
          <w:lang w:bidi="ar"/>
        </w:rPr>
        <w:t>第三条</w:t>
      </w:r>
      <w:r>
        <w:rPr>
          <w:rFonts w:hint="eastAsia" w:ascii="仿宋_GB2312" w:hAnsi="仿宋_GB2312" w:cs="仿宋_GB2312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市、县（区）人民政府负责对禁止燃放烟花爆竹工作的组织领导，建立禁止燃放烟花爆竹工作联席会议制度，综合协调相关重大事项。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镇人民政府、街道办事处应当将禁止燃放烟花爆竹工作纳入</w:t>
      </w:r>
      <w:bookmarkStart w:id="0" w:name="_GoBack"/>
      <w:bookmarkEnd w:id="0"/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社会治安综合治理范围，负责宣传引导和督促本辖区单位和个人遵守本规定，配合有关部门做好禁止燃放烟花爆竹工作。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黑体" w:hAnsi="宋体" w:eastAsia="黑体" w:cs="黑体"/>
          <w:snapToGrid/>
          <w:color w:val="000000"/>
          <w:kern w:val="2"/>
          <w:lang w:bidi="ar"/>
        </w:rPr>
        <w:t>第四条</w:t>
      </w:r>
      <w:r>
        <w:rPr>
          <w:rFonts w:hint="eastAsia" w:ascii="仿宋_GB2312" w:hAnsi="仿宋_GB2312" w:cs="仿宋_GB2312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市、县（区）公安部门负责禁止燃放烟花爆竹的管理工作。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安全生产监督管理部门负责烟花爆竹生产、经营的监督管理工作。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教育、民政、司法、城市管理（行政执法）、环境保护、城乡交通运输、文化广电新闻出版、民族宗教事务、工商行政管理、气象等部门按照各自职责，依法做好禁止燃放烟花爆竹的相关工作。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黑体" w:hAnsi="宋体" w:eastAsia="黑体" w:cs="黑体"/>
          <w:snapToGrid/>
          <w:color w:val="000000"/>
          <w:kern w:val="2"/>
          <w:lang w:bidi="ar"/>
        </w:rPr>
        <w:t>第五条</w:t>
      </w:r>
      <w:r>
        <w:rPr>
          <w:rFonts w:hint="eastAsia" w:ascii="仿宋_GB2312" w:hAnsi="仿宋_GB2312" w:cs="仿宋_GB2312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本市下列区域禁止燃放烟花爆竹：</w:t>
      </w:r>
    </w:p>
    <w:p>
      <w:pPr>
        <w:snapToGrid w:val="0"/>
        <w:spacing w:line="540" w:lineRule="exact"/>
        <w:ind w:left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（一）济南绕城高速公路环线以内；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（二）长清区、章丘区、</w:t>
      </w:r>
      <w:r>
        <w:rPr>
          <w:rFonts w:hint="eastAsia" w:ascii="仿宋_GB2312" w:hAnsi="宋体" w:cs="仿宋_GB2312"/>
          <w:snapToGrid/>
          <w:color w:val="000000"/>
          <w:kern w:val="2"/>
          <w:lang w:bidi="ar"/>
        </w:rPr>
        <w:t>济阳区、莱芜区、钢城区、</w:t>
      </w: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平阴县、商河县的城区范围内的区域。具体区域由县（区）人民政府划定并公布。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黑体" w:hAnsi="宋体" w:eastAsia="黑体" w:cs="黑体"/>
          <w:snapToGrid/>
          <w:color w:val="000000"/>
          <w:kern w:val="2"/>
          <w:lang w:bidi="ar"/>
        </w:rPr>
        <w:t>第六条</w:t>
      </w:r>
      <w:r>
        <w:rPr>
          <w:rFonts w:hint="eastAsia" w:ascii="仿宋_GB2312" w:hAnsi="仿宋_GB2312" w:cs="仿宋_GB2312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市、县（区）人民政府根据需要可以划定其他禁止燃放烟花爆竹的区域，并向社会公布。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黑体" w:hAnsi="宋体" w:eastAsia="黑体" w:cs="黑体"/>
          <w:snapToGrid/>
          <w:color w:val="000000"/>
          <w:kern w:val="2"/>
          <w:lang w:bidi="ar"/>
        </w:rPr>
        <w:t>第七条</w:t>
      </w:r>
      <w:r>
        <w:rPr>
          <w:rFonts w:hint="eastAsia" w:ascii="仿宋_GB2312" w:hAnsi="仿宋_GB2312" w:cs="仿宋_GB2312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本规定第五条、第六条所述区域之外的下列场所，禁止燃放烟花爆竹：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（一）机关办公场所；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（二）文物保护单位；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（三）车站、码头、飞机场等交通枢纽，高速公路、隧道、高架路、立交桥，轨道交通设施以及铁路线路安全保护区；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（四）易燃易爆危险物品生产、经营、储存场所；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（五）输变电设施安全保护区；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（六）医疗机构、幼儿园、中小学校、福利院、敬老院；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（七）山林等重点防火区，大中型水库管理区；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（八）商场、集贸市场、风景名胜区、公园、室内公共娱乐场所、公共文化设施、宗教活动场所；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（九）高层建筑物、地下建筑物、在建高层建筑物施工现场；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（十）县（区）人民政府划定并公布的其他场所。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前款所列场所，县（区）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人民政府应当组织设置禁止燃放烟花爆竹的统一警示标识，并做好安全提示和防范工作。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黑体" w:hAnsi="宋体" w:eastAsia="黑体" w:cs="黑体"/>
          <w:snapToGrid/>
          <w:color w:val="000000"/>
          <w:kern w:val="2"/>
          <w:lang w:bidi="ar"/>
        </w:rPr>
        <w:t>第八条</w:t>
      </w:r>
      <w:r>
        <w:rPr>
          <w:rFonts w:hint="eastAsia" w:ascii="仿宋_GB2312" w:hAnsi="仿宋_GB2312" w:cs="仿宋_GB2312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重污染天气期间，本市行政区域内任何单位和个人不得燃放烟花爆竹、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举办焰火晚会以及其他大型焰火燃放活动</w:t>
      </w: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。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重污染天气由市人民政府依据环境保护、气象部门的预警报告确定并向社会发布。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黑体" w:hAnsi="宋体" w:eastAsia="黑体" w:cs="宋体"/>
          <w:snapToGrid/>
          <w:color w:val="000000"/>
          <w:kern w:val="2"/>
          <w:lang w:bidi="ar"/>
        </w:rPr>
        <w:t>第九条</w:t>
      </w:r>
      <w:r>
        <w:rPr>
          <w:rFonts w:hint="eastAsia" w:ascii="仿宋_GB2312" w:hAnsi="仿宋_GB2312" w:cs="宋体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本规定第五条、第六条、第七条所列的区域、场所（以下统称禁止燃放烟花爆竹区域），不得销售（储存）烟花爆竹。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黑体" w:hAnsi="宋体" w:eastAsia="黑体" w:cs="宋体"/>
          <w:snapToGrid/>
          <w:color w:val="000000"/>
          <w:kern w:val="2"/>
          <w:lang w:bidi="ar"/>
        </w:rPr>
        <w:t>第十条</w:t>
      </w:r>
      <w:r>
        <w:rPr>
          <w:rFonts w:hint="eastAsia" w:ascii="仿宋_GB2312" w:hAnsi="仿宋_GB2312" w:cs="宋体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遇有重大公共庆典，需要举办焰火晚会以及其他大型焰火燃放活动的，经市人民政府确定，主办单位应当依法向公安部门提出申请。获得许可的，由市人民政府发布公告。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黑体" w:hAnsi="宋体" w:eastAsia="黑体" w:cs="黑体"/>
          <w:snapToGrid/>
          <w:color w:val="000000"/>
          <w:kern w:val="2"/>
          <w:lang w:bidi="ar"/>
        </w:rPr>
        <w:t>第十一条</w:t>
      </w:r>
      <w:r>
        <w:rPr>
          <w:rFonts w:hint="eastAsia" w:ascii="仿宋_GB2312" w:hAnsi="仿宋_GB2312" w:cs="仿宋_GB2312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市、县（区）、镇人民政府及其有关部门应当组织开展禁止燃放烟花爆竹宣传活动，并在重大节日、重污染天气期间加大宣传力度。</w:t>
      </w:r>
    </w:p>
    <w:p>
      <w:pPr>
        <w:snapToGrid w:val="0"/>
        <w:spacing w:line="540" w:lineRule="exact"/>
        <w:ind w:firstLine="640"/>
        <w:rPr>
          <w:rFonts w:ascii="仿宋_GB2312" w:hAnsi="仿宋_GB2312" w:cs="仿宋_GB2312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广播、电视、报刊、网络等媒体，应当开展禁止燃放烟花爆竹的宣传工作。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机关、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企业、事业单位及</w:t>
      </w:r>
      <w:r>
        <w:rPr>
          <w:rFonts w:hint="eastAsia" w:ascii="仿宋_GB2312" w:hAnsi="仿宋_GB2312" w:cs="仿宋_GB2312"/>
          <w:snapToGrid/>
          <w:color w:val="000000"/>
          <w:kern w:val="2"/>
          <w:lang w:bidi="ar"/>
        </w:rPr>
        <w:t>社会团体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，应当在本单位、本行业开展禁止燃放烟花爆竹的宣传活动。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居（村）民委员会、物业服务企业，应当配合做好禁止燃放烟花爆竹的有关工作，加强对居（村）民、业主的宣传、引导。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学校和未成年人的监护人，应当对未成年人进行烟花爆竹安全知识和禁止燃放烟花爆竹教育。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鼓励、倡导酒店、宾馆、婚庆公司等承办婚庆、典礼的单位，对违反本规定的行为进行提示和劝阻。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鼓励、引导单位和个人在禁止燃放烟花爆竹区域之外，少放或者不放烟花爆竹。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黑体" w:hAnsi="宋体" w:eastAsia="黑体" w:cs="宋体"/>
          <w:snapToGrid/>
          <w:color w:val="000000"/>
          <w:kern w:val="2"/>
          <w:lang w:bidi="ar"/>
        </w:rPr>
        <w:t>第十二条</w:t>
      </w:r>
      <w:r>
        <w:rPr>
          <w:rFonts w:hint="eastAsia" w:ascii="仿宋_GB2312" w:hAnsi="仿宋_GB2312" w:cs="宋体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单位和个人发现有违反本规定禁止行为的，有权向公安、安全生产监督管理部门举报。经查证属实的，对举报人给予奖励。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举报奖励办法由市人民政府制定并公布。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黑体" w:hAnsi="宋体" w:eastAsia="黑体" w:cs="宋体"/>
          <w:snapToGrid/>
          <w:color w:val="000000"/>
          <w:kern w:val="2"/>
          <w:lang w:bidi="ar"/>
        </w:rPr>
        <w:t>第十三条</w:t>
      </w:r>
      <w:r>
        <w:rPr>
          <w:rFonts w:hint="eastAsia" w:ascii="仿宋_GB2312" w:hAnsi="仿宋_GB2312" w:cs="宋体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违反本规定第五条、第六条、第七条规定，在禁止燃放烟花爆竹区域燃放烟花爆竹的，由公安部门责令改正，并视情节轻重处以一百元以上五百元以下罚款。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违反本规定第八条规定，在重污染天气期间燃放烟花爆竹的，由公安部门责令改正，处以五百元罚款。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黑体" w:hAnsi="宋体" w:eastAsia="黑体" w:cs="宋体"/>
          <w:snapToGrid/>
          <w:color w:val="000000"/>
          <w:kern w:val="2"/>
          <w:lang w:bidi="ar"/>
        </w:rPr>
        <w:t>第十四条</w:t>
      </w:r>
      <w:r>
        <w:rPr>
          <w:rFonts w:hint="eastAsia" w:ascii="仿宋_GB2312" w:hAnsi="仿宋_GB2312" w:cs="宋体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违反本规定第九条规定，在禁止燃放烟花爆竹区域销售（储存）烟花爆竹的，由安全生产监督管理部门依法予以处理。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黑体" w:hAnsi="宋体" w:eastAsia="黑体" w:cs="宋体"/>
          <w:snapToGrid/>
          <w:color w:val="000000"/>
          <w:kern w:val="2"/>
          <w:lang w:bidi="ar"/>
        </w:rPr>
        <w:t>第十五条</w:t>
      </w:r>
      <w:r>
        <w:rPr>
          <w:rFonts w:hint="eastAsia" w:ascii="仿宋_GB2312" w:hAnsi="仿宋_GB2312" w:cs="宋体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违反本规定第十条规定，未经许可举办焰火晚会以及其他大型焰火燃放活动的，由公安部门责令停止燃放，对责任单位处以一万元以上五万元以下罚款。</w:t>
      </w:r>
    </w:p>
    <w:p>
      <w:pPr>
        <w:snapToGrid w:val="0"/>
        <w:spacing w:line="540" w:lineRule="exact"/>
        <w:ind w:firstLine="640"/>
        <w:rPr>
          <w:rFonts w:ascii="黑体" w:hAnsi="宋体" w:eastAsia="黑体" w:cs="宋体"/>
          <w:snapToGrid/>
          <w:color w:val="000000"/>
          <w:kern w:val="2"/>
        </w:rPr>
      </w:pPr>
      <w:r>
        <w:rPr>
          <w:rFonts w:hint="eastAsia" w:ascii="黑体" w:hAnsi="宋体" w:eastAsia="黑体" w:cs="宋体"/>
          <w:snapToGrid/>
          <w:color w:val="000000"/>
          <w:kern w:val="2"/>
          <w:lang w:bidi="ar"/>
        </w:rPr>
        <w:t>第十六条</w:t>
      </w:r>
      <w:r>
        <w:rPr>
          <w:rFonts w:hint="eastAsia" w:ascii="仿宋_GB2312" w:hAnsi="仿宋_GB2312" w:cs="宋体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燃放烟花爆竹引起火灾的，由公安部门依照《中华人民共和国消防法》等法律、法规予以处理。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黑体" w:hAnsi="宋体" w:eastAsia="黑体" w:cs="宋体"/>
          <w:snapToGrid/>
          <w:color w:val="000000"/>
          <w:kern w:val="2"/>
          <w:lang w:bidi="ar"/>
        </w:rPr>
        <w:t>第十七条</w:t>
      </w:r>
      <w:r>
        <w:rPr>
          <w:rFonts w:hint="eastAsia" w:ascii="仿宋_GB2312" w:hAnsi="仿宋_GB2312" w:cs="宋体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违反本规定，构成违反治安管理行为的，依照《中华人民共和国治安管理处罚法》予以处罚；构成犯罪的，依法追究刑事责任；造成他人人身伤害、财产损失的，应当依法赔偿。</w:t>
      </w:r>
    </w:p>
    <w:p>
      <w:pPr>
        <w:widowControl/>
        <w:snapToGrid w:val="0"/>
        <w:spacing w:line="540" w:lineRule="exact"/>
        <w:ind w:firstLine="628"/>
        <w:rPr>
          <w:rFonts w:ascii="仿宋_GB2312" w:hAnsi="仿宋_GB2312" w:cs="仿宋_GB2312"/>
          <w:color w:val="000000"/>
        </w:rPr>
      </w:pPr>
      <w:r>
        <w:rPr>
          <w:rFonts w:hint="eastAsia" w:ascii="黑体" w:hAnsi="宋体" w:eastAsia="黑体" w:cs="仿宋_GB2312"/>
          <w:snapToGrid/>
          <w:color w:val="000000"/>
          <w:lang w:bidi="ar"/>
        </w:rPr>
        <w:t>第十八条</w:t>
      </w:r>
      <w:r>
        <w:rPr>
          <w:rFonts w:hint="eastAsia" w:ascii="仿宋_GB2312" w:hAnsi="仿宋_GB2312" w:cs="仿宋_GB2312"/>
          <w:color w:val="000000"/>
          <w:lang w:bidi="ar"/>
        </w:rPr>
        <w:t xml:space="preserve">  </w:t>
      </w:r>
      <w:r>
        <w:rPr>
          <w:rFonts w:hint="eastAsia" w:ascii="仿宋_GB2312" w:hAnsi="仿宋_GB2312" w:cs="仿宋_GB2312"/>
          <w:snapToGrid/>
          <w:color w:val="000000"/>
          <w:lang w:bidi="ar"/>
        </w:rPr>
        <w:t>市、县（区）、镇人民政府和公安、安全生产监督管理等部门及其工作人员，在禁止燃放烟花爆竹管理工作中玩忽职守、滥用职权、徇私舞弊，尚不构成犯罪的，由其所在单位或者上级主管机关给予行政处分；构成犯罪的，依法追究刑事责任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黑体" w:hAnsi="宋体" w:eastAsia="黑体" w:cs="宋体"/>
          <w:snapToGrid/>
          <w:color w:val="000000"/>
          <w:kern w:val="2"/>
          <w:lang w:bidi="ar"/>
        </w:rPr>
        <w:t>第十九条</w:t>
      </w:r>
      <w:r>
        <w:rPr>
          <w:rFonts w:hint="eastAsia" w:ascii="仿宋_GB2312" w:hAnsi="仿宋_GB2312" w:cs="宋体"/>
          <w:color w:val="000000"/>
          <w:kern w:val="2"/>
          <w:lang w:bidi="ar"/>
        </w:rPr>
        <w:t xml:space="preserve">  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本规定自</w:t>
      </w:r>
      <w:r>
        <w:rPr>
          <w:rFonts w:hint="eastAsia" w:ascii="仿宋_GB2312" w:hAnsi="仿宋_GB2312" w:cs="宋体"/>
          <w:color w:val="000000"/>
          <w:kern w:val="2"/>
          <w:lang w:bidi="ar"/>
        </w:rPr>
        <w:t>2018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年</w:t>
      </w:r>
      <w:r>
        <w:rPr>
          <w:rFonts w:hint="eastAsia" w:ascii="仿宋_GB2312" w:hAnsi="仿宋_GB2312" w:cs="宋体"/>
          <w:color w:val="000000"/>
          <w:kern w:val="2"/>
          <w:lang w:bidi="ar"/>
        </w:rPr>
        <w:t>1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月</w:t>
      </w:r>
      <w:r>
        <w:rPr>
          <w:rFonts w:hint="eastAsia" w:ascii="仿宋_GB2312" w:hAnsi="仿宋_GB2312" w:cs="宋体"/>
          <w:color w:val="000000"/>
          <w:kern w:val="2"/>
          <w:lang w:bidi="ar"/>
        </w:rPr>
        <w:t>1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日起施行。</w:t>
      </w:r>
    </w:p>
    <w:p>
      <w:pPr>
        <w:snapToGrid w:val="0"/>
        <w:spacing w:line="540" w:lineRule="exact"/>
        <w:ind w:firstLine="640"/>
        <w:rPr>
          <w:rFonts w:ascii="仿宋_GB2312" w:hAnsi="宋体" w:cs="宋体"/>
          <w:color w:val="000000"/>
          <w:kern w:val="2"/>
        </w:rPr>
      </w:pPr>
      <w:r>
        <w:rPr>
          <w:rFonts w:hint="eastAsia" w:ascii="仿宋_GB2312" w:hAnsi="宋体" w:cs="宋体"/>
          <w:snapToGrid/>
          <w:color w:val="000000"/>
          <w:kern w:val="2"/>
          <w:lang w:bidi="ar"/>
        </w:rPr>
        <w:t>莱芜区、钢城区自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2019年</w:t>
      </w:r>
      <w:r>
        <w:rPr>
          <w:rFonts w:hint="eastAsia" w:ascii="仿宋_GB2312" w:hAnsi="仿宋_GB2312" w:cs="宋体"/>
          <w:color w:val="000000"/>
          <w:kern w:val="2"/>
          <w:lang w:bidi="ar"/>
        </w:rPr>
        <w:t>5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月</w:t>
      </w:r>
      <w:r>
        <w:rPr>
          <w:rFonts w:hint="eastAsia" w:ascii="仿宋_GB2312" w:hAnsi="仿宋_GB2312" w:cs="宋体"/>
          <w:color w:val="000000"/>
          <w:kern w:val="2"/>
          <w:lang w:bidi="ar"/>
        </w:rPr>
        <w:t>1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日起</w:t>
      </w:r>
      <w:r>
        <w:rPr>
          <w:rFonts w:hint="eastAsia" w:ascii="仿宋_GB2312" w:hAnsi="宋体" w:cs="宋体"/>
          <w:snapToGrid/>
          <w:color w:val="000000"/>
          <w:kern w:val="2"/>
          <w:lang w:bidi="ar"/>
        </w:rPr>
        <w:t>执行本规定。</w:t>
      </w:r>
    </w:p>
    <w:p>
      <w:pPr>
        <w:snapToGrid w:val="0"/>
        <w:spacing w:line="540" w:lineRule="exact"/>
        <w:ind w:firstLine="640"/>
        <w:rPr>
          <w:rFonts w:ascii="仿宋_GB2312" w:hAnsi="仿宋_GB2312" w:cs="宋体"/>
          <w:color w:val="000000"/>
          <w:kern w:val="2"/>
        </w:rPr>
      </w:pP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2004年</w:t>
      </w:r>
      <w:r>
        <w:rPr>
          <w:rFonts w:hint="eastAsia" w:ascii="仿宋_GB2312" w:hAnsi="仿宋_GB2312" w:cs="宋体"/>
          <w:color w:val="000000"/>
          <w:kern w:val="2"/>
          <w:lang w:bidi="ar"/>
        </w:rPr>
        <w:t>9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月</w:t>
      </w:r>
      <w:r>
        <w:rPr>
          <w:rFonts w:hint="eastAsia" w:ascii="仿宋_GB2312" w:hAnsi="仿宋_GB2312" w:cs="宋体"/>
          <w:color w:val="000000"/>
          <w:kern w:val="2"/>
          <w:lang w:bidi="ar"/>
        </w:rPr>
        <w:t>29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日济南市第十三届人民代表大会常务委员会第十四次会议通过，</w:t>
      </w:r>
      <w:r>
        <w:rPr>
          <w:rFonts w:hint="eastAsia" w:ascii="仿宋_GB2312" w:hAnsi="仿宋_GB2312" w:cs="宋体"/>
          <w:color w:val="000000"/>
          <w:kern w:val="2"/>
          <w:lang w:bidi="ar"/>
        </w:rPr>
        <w:t>2010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年</w:t>
      </w:r>
      <w:r>
        <w:rPr>
          <w:rFonts w:hint="eastAsia" w:ascii="仿宋_GB2312" w:hAnsi="仿宋_GB2312" w:cs="宋体"/>
          <w:color w:val="000000"/>
          <w:kern w:val="2"/>
          <w:lang w:bidi="ar"/>
        </w:rPr>
        <w:t>10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月</w:t>
      </w:r>
      <w:r>
        <w:rPr>
          <w:rFonts w:hint="eastAsia" w:ascii="仿宋_GB2312" w:hAnsi="仿宋_GB2312" w:cs="宋体"/>
          <w:color w:val="000000"/>
          <w:kern w:val="2"/>
          <w:lang w:bidi="ar"/>
        </w:rPr>
        <w:t>27</w:t>
      </w:r>
      <w:r>
        <w:rPr>
          <w:rFonts w:hint="eastAsia" w:ascii="仿宋_GB2312" w:hAnsi="仿宋_GB2312" w:cs="宋体"/>
          <w:snapToGrid/>
          <w:color w:val="000000"/>
          <w:kern w:val="2"/>
          <w:lang w:bidi="ar"/>
        </w:rPr>
        <w:t>日济南市第十四届人民代表大会常务委员会第二十四次会议修正的《济南市限制燃放烟花爆竹的管理规定》同时废止。</w:t>
      </w:r>
    </w:p>
    <w:p>
      <w:pPr>
        <w:snapToGrid w:val="0"/>
        <w:spacing w:before="156" w:beforeLines="50" w:line="560" w:lineRule="exact"/>
        <w:rPr>
          <w:rFonts w:ascii="宋体" w:hAnsi="宋体" w:cs="宋体"/>
          <w:color w:val="000000"/>
        </w:rPr>
      </w:pPr>
    </w:p>
    <w:p/>
    <w:sectPr>
      <w:footerReference r:id="rId3" w:type="default"/>
      <w:pgSz w:w="11906" w:h="16838"/>
      <w:pgMar w:top="2154" w:right="1531" w:bottom="1814" w:left="1531" w:header="851" w:footer="1531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20" w:leftChars="100" w:right="320" w:rightChars="100"/>
                            <w:textAlignment w:val="auto"/>
                            <w:outlineLvl w:val="9"/>
                            <w:rPr>
                              <w:rFonts w:hint="eastAsia" w:eastAsia="仿宋_GB2312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20" w:leftChars="100" w:right="320" w:rightChars="100"/>
                      <w:textAlignment w:val="auto"/>
                      <w:outlineLvl w:val="9"/>
                      <w:rPr>
                        <w:rFonts w:hint="eastAsia" w:eastAsia="仿宋_GB2312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F1C80"/>
    <w:rsid w:val="4D476F4C"/>
    <w:rsid w:val="5BEB3E4B"/>
    <w:rsid w:val="7A6F1C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2019-03-08T01:56:00Z</dcterms:created>
  <dc:creator>苏健</dc:creator>
  <cp:lastModifiedBy>苏健</cp:lastModifiedBy>
  <dcterms:modified xsi:type="dcterms:W3CDTF">2019-03-08T02:00:11Z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