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9ABD9C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浙江省国土空间规划条例</w:t>
      </w:r>
    </w:p>
    <w:p w14:paraId="06D1FB8D">
      <w:pPr>
        <w:rPr>
          <w:rFonts w:ascii="Times New Roman" w:hAnsi="Times New Roman" w:eastAsia="宋体" w:cs="宋体"/>
          <w:szCs w:val="32"/>
        </w:rPr>
      </w:pPr>
    </w:p>
    <w:p w14:paraId="7DFC71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(2024年9月27日浙江省第十四届人民代表大会常务委员会第十二次会议通过）</w:t>
      </w:r>
    </w:p>
    <w:p w14:paraId="59F92695">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5CBA77C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国土空间规划制定和修改</w:t>
      </w:r>
    </w:p>
    <w:p w14:paraId="58377D95">
      <w:pPr>
        <w:keepNext w:val="0"/>
        <w:keepLines w:val="0"/>
        <w:pageBreakBefore w:val="0"/>
        <w:widowControl w:val="0"/>
        <w:kinsoku/>
        <w:wordWrap/>
        <w:overflowPunct/>
        <w:topLinePunct w:val="0"/>
        <w:autoSpaceDE/>
        <w:autoSpaceDN/>
        <w:bidi w:val="0"/>
        <w:adjustRightInd/>
        <w:snapToGrid/>
        <w:spacing w:line="240" w:lineRule="auto"/>
        <w:ind w:left="1264" w:leftChars="400" w:right="0" w:rightChars="0" w:firstLine="0" w:firstLineChars="0"/>
        <w:jc w:val="both"/>
        <w:textAlignment w:val="auto"/>
        <w:rPr>
          <w:rFonts w:ascii="Times New Roman" w:hAnsi="Times New Roman"/>
          <w:sz w:val="32"/>
        </w:rPr>
      </w:pPr>
      <w:r>
        <w:rPr>
          <w:rFonts w:ascii="Times New Roman" w:hAnsi="Times New Roman" w:eastAsia="楷体_GB2312" w:cs="楷体_GB2312"/>
          <w:sz w:val="32"/>
        </w:rPr>
        <w:t>第一节　一般规定</w:t>
      </w:r>
    </w:p>
    <w:p w14:paraId="57520C6B">
      <w:pPr>
        <w:keepNext w:val="0"/>
        <w:keepLines w:val="0"/>
        <w:pageBreakBefore w:val="0"/>
        <w:widowControl w:val="0"/>
        <w:kinsoku/>
        <w:wordWrap/>
        <w:overflowPunct/>
        <w:topLinePunct w:val="0"/>
        <w:autoSpaceDE/>
        <w:autoSpaceDN/>
        <w:bidi w:val="0"/>
        <w:adjustRightInd/>
        <w:snapToGrid/>
        <w:spacing w:line="240" w:lineRule="auto"/>
        <w:ind w:left="1264" w:leftChars="400" w:right="0" w:rightChars="0" w:firstLine="0" w:firstLineChars="0"/>
        <w:jc w:val="both"/>
        <w:textAlignment w:val="auto"/>
        <w:rPr>
          <w:rFonts w:ascii="Times New Roman" w:hAnsi="Times New Roman"/>
          <w:sz w:val="32"/>
        </w:rPr>
      </w:pPr>
      <w:r>
        <w:rPr>
          <w:rFonts w:ascii="Times New Roman" w:hAnsi="Times New Roman" w:eastAsia="楷体_GB2312" w:cs="楷体_GB2312"/>
          <w:sz w:val="32"/>
        </w:rPr>
        <w:t>第二节　总体规划</w:t>
      </w:r>
    </w:p>
    <w:p w14:paraId="07FCDAC4">
      <w:pPr>
        <w:keepNext w:val="0"/>
        <w:keepLines w:val="0"/>
        <w:pageBreakBefore w:val="0"/>
        <w:widowControl w:val="0"/>
        <w:kinsoku/>
        <w:wordWrap/>
        <w:overflowPunct/>
        <w:topLinePunct w:val="0"/>
        <w:autoSpaceDE/>
        <w:autoSpaceDN/>
        <w:bidi w:val="0"/>
        <w:adjustRightInd/>
        <w:snapToGrid/>
        <w:spacing w:line="240" w:lineRule="auto"/>
        <w:ind w:left="1264" w:leftChars="400" w:right="0" w:rightChars="0" w:firstLine="0" w:firstLineChars="0"/>
        <w:jc w:val="both"/>
        <w:textAlignment w:val="auto"/>
        <w:rPr>
          <w:rFonts w:ascii="Times New Roman" w:hAnsi="Times New Roman"/>
          <w:sz w:val="32"/>
        </w:rPr>
      </w:pPr>
      <w:r>
        <w:rPr>
          <w:rFonts w:ascii="Times New Roman" w:hAnsi="Times New Roman" w:eastAsia="楷体_GB2312" w:cs="楷体_GB2312"/>
          <w:sz w:val="32"/>
        </w:rPr>
        <w:t>第三节　详细规划</w:t>
      </w:r>
    </w:p>
    <w:p w14:paraId="69E20F31">
      <w:pPr>
        <w:keepNext w:val="0"/>
        <w:keepLines w:val="0"/>
        <w:pageBreakBefore w:val="0"/>
        <w:widowControl w:val="0"/>
        <w:kinsoku/>
        <w:wordWrap/>
        <w:overflowPunct/>
        <w:topLinePunct w:val="0"/>
        <w:autoSpaceDE/>
        <w:autoSpaceDN/>
        <w:bidi w:val="0"/>
        <w:adjustRightInd/>
        <w:snapToGrid/>
        <w:spacing w:line="240" w:lineRule="auto"/>
        <w:ind w:left="1264" w:leftChars="400" w:right="0" w:rightChars="0" w:firstLine="0" w:firstLineChars="0"/>
        <w:jc w:val="both"/>
        <w:textAlignment w:val="auto"/>
        <w:rPr>
          <w:rFonts w:ascii="Times New Roman" w:hAnsi="Times New Roman"/>
          <w:sz w:val="32"/>
        </w:rPr>
      </w:pPr>
      <w:r>
        <w:rPr>
          <w:rFonts w:ascii="Times New Roman" w:hAnsi="Times New Roman" w:eastAsia="楷体_GB2312" w:cs="楷体_GB2312"/>
          <w:sz w:val="32"/>
        </w:rPr>
        <w:t>第四节　专项规划</w:t>
      </w:r>
    </w:p>
    <w:p w14:paraId="3AAFBFE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国土空间用途分区管制和优化</w:t>
      </w:r>
    </w:p>
    <w:p w14:paraId="53E7684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国土空间规划实施</w:t>
      </w:r>
    </w:p>
    <w:p w14:paraId="66D75934">
      <w:pPr>
        <w:keepNext w:val="0"/>
        <w:keepLines w:val="0"/>
        <w:pageBreakBefore w:val="0"/>
        <w:widowControl w:val="0"/>
        <w:kinsoku/>
        <w:wordWrap/>
        <w:overflowPunct/>
        <w:topLinePunct w:val="0"/>
        <w:autoSpaceDE/>
        <w:autoSpaceDN/>
        <w:bidi w:val="0"/>
        <w:adjustRightInd/>
        <w:snapToGrid/>
        <w:spacing w:line="240" w:lineRule="auto"/>
        <w:ind w:left="1264" w:leftChars="400" w:right="0" w:rightChars="0" w:firstLine="0" w:firstLineChars="0"/>
        <w:jc w:val="both"/>
        <w:textAlignment w:val="auto"/>
        <w:rPr>
          <w:rFonts w:ascii="Times New Roman" w:hAnsi="Times New Roman"/>
          <w:sz w:val="32"/>
        </w:rPr>
      </w:pPr>
      <w:r>
        <w:rPr>
          <w:rFonts w:ascii="Times New Roman" w:hAnsi="Times New Roman" w:eastAsia="楷体_GB2312" w:cs="楷体_GB2312"/>
          <w:sz w:val="32"/>
        </w:rPr>
        <w:t>第一节　一般规定</w:t>
      </w:r>
    </w:p>
    <w:p w14:paraId="205C198A">
      <w:pPr>
        <w:keepNext w:val="0"/>
        <w:keepLines w:val="0"/>
        <w:pageBreakBefore w:val="0"/>
        <w:widowControl w:val="0"/>
        <w:kinsoku/>
        <w:wordWrap/>
        <w:overflowPunct/>
        <w:topLinePunct w:val="0"/>
        <w:autoSpaceDE/>
        <w:autoSpaceDN/>
        <w:bidi w:val="0"/>
        <w:adjustRightInd/>
        <w:snapToGrid/>
        <w:spacing w:line="240" w:lineRule="auto"/>
        <w:ind w:left="1264" w:leftChars="400" w:right="0" w:rightChars="0" w:firstLine="0" w:firstLineChars="0"/>
        <w:jc w:val="both"/>
        <w:textAlignment w:val="auto"/>
        <w:rPr>
          <w:rFonts w:ascii="Times New Roman" w:hAnsi="Times New Roman"/>
          <w:sz w:val="32"/>
        </w:rPr>
      </w:pPr>
      <w:r>
        <w:rPr>
          <w:rFonts w:ascii="Times New Roman" w:hAnsi="Times New Roman" w:eastAsia="楷体_GB2312" w:cs="楷体_GB2312"/>
          <w:sz w:val="32"/>
        </w:rPr>
        <w:t>第二节　建设用地规划管理</w:t>
      </w:r>
    </w:p>
    <w:p w14:paraId="23C16520">
      <w:pPr>
        <w:keepNext w:val="0"/>
        <w:keepLines w:val="0"/>
        <w:pageBreakBefore w:val="0"/>
        <w:widowControl w:val="0"/>
        <w:kinsoku/>
        <w:wordWrap/>
        <w:overflowPunct/>
        <w:topLinePunct w:val="0"/>
        <w:autoSpaceDE/>
        <w:autoSpaceDN/>
        <w:bidi w:val="0"/>
        <w:adjustRightInd/>
        <w:snapToGrid/>
        <w:spacing w:line="240" w:lineRule="auto"/>
        <w:ind w:left="1264" w:leftChars="400" w:right="0" w:rightChars="0" w:firstLine="0" w:firstLineChars="0"/>
        <w:jc w:val="both"/>
        <w:textAlignment w:val="auto"/>
        <w:rPr>
          <w:rFonts w:ascii="Times New Roman" w:hAnsi="Times New Roman"/>
          <w:sz w:val="32"/>
        </w:rPr>
      </w:pPr>
      <w:bookmarkStart w:id="0" w:name="_GoBack"/>
      <w:bookmarkEnd w:id="0"/>
      <w:r>
        <w:rPr>
          <w:rFonts w:ascii="Times New Roman" w:hAnsi="Times New Roman" w:eastAsia="楷体_GB2312" w:cs="楷体_GB2312"/>
          <w:sz w:val="32"/>
        </w:rPr>
        <w:t>第三节　建设工程规划管理</w:t>
      </w:r>
    </w:p>
    <w:p w14:paraId="0B73588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监督管理</w:t>
      </w:r>
    </w:p>
    <w:p w14:paraId="0DC96C9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法律责任</w:t>
      </w:r>
    </w:p>
    <w:p w14:paraId="593F151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附　　则</w:t>
      </w:r>
    </w:p>
    <w:p w14:paraId="3204D3DB">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1779E73D">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国土空间规划管理，实现国土空间有效保护和合理利用，促进经济社会高质量发展，推动共同富裕先行和省域现代化先行，根据《中华人民共和国土地管理法》《中华人民共和国城乡规划法》等法律、行政法规，结合本省实际，制定本条例。</w:t>
      </w:r>
    </w:p>
    <w:p w14:paraId="4BF9D5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本省行政区域内国土空间规划的制定、修改、实施以及国土空间用途分区管制和优化，适用本条例。</w:t>
      </w:r>
    </w:p>
    <w:p w14:paraId="77808E84">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本条例所称国土空间规划，是对一定区域国土空间开发保护在空间和时间上作出的安排，是各类开发、保护、建设活动的基本依据。</w:t>
      </w:r>
    </w:p>
    <w:p w14:paraId="23418842">
      <w:pPr>
        <w:ind w:firstLine="632" w:firstLineChars="200"/>
        <w:rPr>
          <w:rFonts w:ascii="Times New Roman" w:hAnsi="Times New Roman" w:cs="仿宋_GB2312"/>
          <w:sz w:val="32"/>
          <w:szCs w:val="32"/>
        </w:rPr>
      </w:pPr>
      <w:r>
        <w:rPr>
          <w:rFonts w:hint="eastAsia" w:ascii="Times New Roman" w:hAnsi="Times New Roman" w:cs="仿宋_GB2312"/>
          <w:sz w:val="32"/>
          <w:szCs w:val="32"/>
        </w:rPr>
        <w:t>国土空间规划包括总体规划、详细规划和专项规划。</w:t>
      </w:r>
    </w:p>
    <w:p w14:paraId="36BE8B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国土空间规划工作坚持中国共产党的领导，坚持以人为本、统筹兼顾、生态优先、节约集约、协同治理、数字赋能的原则，优化国土空间结构和布局，落实主体功能区战略布局，为国民经济和社会发展规划纲要落地实施提供空间保障。</w:t>
      </w:r>
    </w:p>
    <w:p w14:paraId="017372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加强对国土空间规划工作的领导，建立国土空间规划工作决策机制和协同机制，统筹协调国土空间规划制定、修改、实施以及国土空间用途分区管制和优化中的重大事项，并将所需经费按照规定列入本级财政预算。</w:t>
      </w:r>
    </w:p>
    <w:p w14:paraId="796C359E">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乡镇人民政府、街道办事处按照规定职责，做好国土空间规划有关工作。</w:t>
      </w:r>
    </w:p>
    <w:p w14:paraId="483003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自然资源主管部门负责本行政区域内的国土空间规划管理工作。</w:t>
      </w:r>
    </w:p>
    <w:p w14:paraId="1C235063">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发展改革、经济和信息化、民政、财政、生态环境、住房城乡建设、交通运输、水利、农业农村、商务、文化广电旅游、林业、文物、通信管理等部门按照各自职责，做好国土空间规划管理的相关工作。</w:t>
      </w:r>
    </w:p>
    <w:p w14:paraId="3F17CC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各级人民政府及有关部门应当依托国土空间治理数字化平台，实现覆盖全域、实时监测、动态更新、高效统一的国土空间规划一张图集成管理，提升国土空间数字化治理能力。</w:t>
      </w:r>
    </w:p>
    <w:p w14:paraId="0E0C5A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各级人民政府及有关部门应当建立健全国土空间规划公众参与制度，在编制、修改、实施国土空间规划时依法向社会公开，并充分听取公众意见，接受社会监督。</w:t>
      </w:r>
    </w:p>
    <w:p w14:paraId="10495A55">
      <w:pPr>
        <w:rPr>
          <w:rFonts w:ascii="Times New Roman" w:hAnsi="Times New Roman" w:eastAsia="宋体" w:cs="宋体"/>
          <w:szCs w:val="32"/>
        </w:rPr>
      </w:pPr>
    </w:p>
    <w:p w14:paraId="58B08787">
      <w:pPr>
        <w:jc w:val="center"/>
        <w:rPr>
          <w:rFonts w:ascii="Times New Roman" w:hAnsi="Times New Roman" w:eastAsia="黑体" w:cs="黑体"/>
          <w:szCs w:val="32"/>
        </w:rPr>
      </w:pPr>
      <w:r>
        <w:rPr>
          <w:rFonts w:hint="eastAsia" w:ascii="Times New Roman" w:hAnsi="Times New Roman" w:eastAsia="黑体" w:cs="黑体"/>
          <w:szCs w:val="32"/>
        </w:rPr>
        <w:t>第二章　国土空间规划制定和修改</w:t>
      </w:r>
    </w:p>
    <w:p w14:paraId="396F3F0A">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一般规定</w:t>
      </w:r>
    </w:p>
    <w:p w14:paraId="4180C653">
      <w:pPr>
        <w:rPr>
          <w:rFonts w:ascii="Times New Roman" w:hAnsi="Times New Roman" w:eastAsia="宋体" w:cs="宋体"/>
          <w:szCs w:val="32"/>
        </w:rPr>
      </w:pPr>
    </w:p>
    <w:p w14:paraId="66E9C3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本省建立全省统一、分级管理、科学高效的国土空间规划体系。任何单位和个人不得在国土空间规划体系之外另设其他空间规划。</w:t>
      </w:r>
    </w:p>
    <w:p w14:paraId="65E38FC5">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国土空间规划应当以国土空间资源及利用现状调查、资源环境承载能力评估、国民经济和社会发展规划纲要等为基础，科学有序统筹安排农业、生态、城镇等主体功能空间，落实空间分区管制要求，明确国土空间管制的强制性内容、约束性指标和指导性要求。</w:t>
      </w:r>
    </w:p>
    <w:p w14:paraId="541FEF2F">
      <w:pPr>
        <w:ind w:firstLine="632" w:firstLineChars="200"/>
        <w:rPr>
          <w:rFonts w:ascii="Times New Roman" w:hAnsi="Times New Roman" w:cs="仿宋_GB2312"/>
          <w:sz w:val="32"/>
          <w:szCs w:val="32"/>
        </w:rPr>
      </w:pPr>
      <w:r>
        <w:rPr>
          <w:rFonts w:hint="eastAsia" w:ascii="Times New Roman" w:hAnsi="Times New Roman" w:cs="仿宋_GB2312"/>
          <w:sz w:val="32"/>
          <w:szCs w:val="32"/>
        </w:rPr>
        <w:t>国土空间规划的环境影响评价、地质灾害危险性评估等，依照有关法律、法规规定执行。</w:t>
      </w:r>
    </w:p>
    <w:p w14:paraId="558A67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经依法批准的国土空间总体规划是国土空间详细规划和专项规划编制、修改的依据，国土空间详细规划和专项规划应当服从总体规划。国土空间专项规划的主要内容应当纳入国土空间详细规划。</w:t>
      </w:r>
    </w:p>
    <w:p w14:paraId="264F15B2">
      <w:pPr>
        <w:ind w:firstLine="632" w:firstLineChars="200"/>
        <w:rPr>
          <w:rFonts w:ascii="Times New Roman" w:hAnsi="Times New Roman" w:cs="仿宋_GB2312"/>
          <w:sz w:val="32"/>
          <w:szCs w:val="32"/>
        </w:rPr>
      </w:pPr>
      <w:r>
        <w:rPr>
          <w:rFonts w:hint="eastAsia" w:ascii="Times New Roman" w:hAnsi="Times New Roman" w:cs="仿宋_GB2312"/>
          <w:sz w:val="32"/>
          <w:szCs w:val="32"/>
        </w:rPr>
        <w:t>下级国土空间规划应当依据上级国土空间规划编制和修改，不得突破上级国土空间规划确定的强制性内容、约束性指标。</w:t>
      </w:r>
    </w:p>
    <w:p w14:paraId="35A6B831">
      <w:pPr>
        <w:ind w:firstLine="632" w:firstLineChars="200"/>
        <w:rPr>
          <w:rFonts w:ascii="Times New Roman" w:hAnsi="Times New Roman" w:cs="仿宋_GB2312"/>
          <w:sz w:val="32"/>
          <w:szCs w:val="32"/>
        </w:rPr>
      </w:pPr>
      <w:r>
        <w:rPr>
          <w:rFonts w:hint="eastAsia" w:ascii="Times New Roman" w:hAnsi="Times New Roman" w:cs="仿宋_GB2312"/>
          <w:sz w:val="32"/>
          <w:szCs w:val="32"/>
        </w:rPr>
        <w:t>经依法批准的国土空间规划，任何单位和个人不得擅自修改。</w:t>
      </w:r>
    </w:p>
    <w:p w14:paraId="7E6C75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国土空间规划报送审批前，组织编制机关应当依法将国土空间规划草案予以公示，并采取论证会、听证会或者其他方式征求专家和公众的意见。公示期限不少于三十日。</w:t>
      </w:r>
    </w:p>
    <w:p w14:paraId="5DE50D00">
      <w:pPr>
        <w:ind w:firstLine="632" w:firstLineChars="200"/>
        <w:rPr>
          <w:rFonts w:ascii="Times New Roman" w:hAnsi="Times New Roman" w:cs="仿宋_GB2312"/>
          <w:sz w:val="32"/>
          <w:szCs w:val="32"/>
        </w:rPr>
      </w:pPr>
      <w:r>
        <w:rPr>
          <w:rFonts w:hint="eastAsia" w:ascii="Times New Roman" w:hAnsi="Times New Roman" w:cs="仿宋_GB2312"/>
          <w:sz w:val="32"/>
          <w:szCs w:val="32"/>
        </w:rPr>
        <w:t>组织编制机关应当充分考虑专家和公众的意见，并在报送审批的材料中附具意见采纳情况及理由。</w:t>
      </w:r>
    </w:p>
    <w:p w14:paraId="6C91F8BE">
      <w:pPr>
        <w:ind w:firstLine="632" w:firstLineChars="200"/>
        <w:rPr>
          <w:rFonts w:ascii="Times New Roman" w:hAnsi="Times New Roman" w:cs="仿宋_GB2312"/>
          <w:sz w:val="32"/>
          <w:szCs w:val="32"/>
        </w:rPr>
      </w:pPr>
      <w:r>
        <w:rPr>
          <w:rFonts w:hint="eastAsia" w:ascii="Times New Roman" w:hAnsi="Times New Roman" w:cs="仿宋_GB2312"/>
          <w:sz w:val="32"/>
          <w:szCs w:val="32"/>
        </w:rPr>
        <w:t>经依法批准的国土空间规划应当在三十日内依法向社会公布并纳入国土空间治理数字化平台。</w:t>
      </w:r>
    </w:p>
    <w:p w14:paraId="594B1C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国土空间设计是国土空间保护、开发、利用、修复的技术方法，包括总体设计、详细设计、专项设计。</w:t>
      </w:r>
    </w:p>
    <w:p w14:paraId="2E822DDA">
      <w:pPr>
        <w:ind w:firstLine="632" w:firstLineChars="200"/>
        <w:rPr>
          <w:rFonts w:ascii="Times New Roman" w:hAnsi="Times New Roman" w:cs="仿宋_GB2312"/>
          <w:sz w:val="32"/>
          <w:szCs w:val="32"/>
        </w:rPr>
      </w:pPr>
      <w:r>
        <w:rPr>
          <w:rFonts w:hint="eastAsia" w:ascii="Times New Roman" w:hAnsi="Times New Roman" w:cs="仿宋_GB2312"/>
          <w:sz w:val="32"/>
          <w:szCs w:val="32"/>
        </w:rPr>
        <w:t>国土空间设计成果的主要管控要求应当为国土空间规划编制、修改提供技术支撑。</w:t>
      </w:r>
    </w:p>
    <w:p w14:paraId="66A5C9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编制、修改和实施国土空间规划应当遵守国家统一的技术标准与实施规范。有下列情形之一的，省自然资源主管部门可以会同有关部门制定相关技术标准与实施规范：</w:t>
      </w:r>
    </w:p>
    <w:p w14:paraId="2D1EEB5A">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（一）国家尚未制定技术标准与实施规范；</w:t>
      </w:r>
    </w:p>
    <w:p w14:paraId="3F744640">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（二）国家重大政策调整但尚未调整相应技术标准与实施规范；</w:t>
      </w:r>
    </w:p>
    <w:p w14:paraId="536A3B0B">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（三）国家技术标准与实施规范需要进一步细化；</w:t>
      </w:r>
    </w:p>
    <w:p w14:paraId="2C6E461F">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（四）法律、法规规定的其他情形。</w:t>
      </w:r>
    </w:p>
    <w:p w14:paraId="7DD01EF0">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设区的市、县（市）人民政府可以按照国家和省有关技术标准与实施规范，制定适用于本行政区域的相关实施性技术规定。</w:t>
      </w:r>
    </w:p>
    <w:p w14:paraId="59752172">
      <w:pPr>
        <w:rPr>
          <w:rFonts w:ascii="Times New Roman" w:hAnsi="Times New Roman" w:eastAsia="宋体" w:cs="宋体"/>
          <w:szCs w:val="32"/>
        </w:rPr>
      </w:pPr>
    </w:p>
    <w:p w14:paraId="39493786">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总体规划</w:t>
      </w:r>
    </w:p>
    <w:p w14:paraId="767E28D5">
      <w:pPr>
        <w:rPr>
          <w:rFonts w:ascii="Times New Roman" w:hAnsi="Times New Roman" w:eastAsia="宋体" w:cs="宋体"/>
          <w:szCs w:val="32"/>
        </w:rPr>
      </w:pPr>
    </w:p>
    <w:p w14:paraId="696CF1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国土空间总体规划是国土空间保护、开发、利用、修复的总体部署和统筹安排，是用地用海审批的依据。</w:t>
      </w:r>
    </w:p>
    <w:p w14:paraId="599E3141">
      <w:pPr>
        <w:ind w:firstLine="632" w:firstLineChars="200"/>
        <w:rPr>
          <w:rFonts w:ascii="Times New Roman" w:hAnsi="Times New Roman" w:cs="仿宋_GB2312"/>
          <w:sz w:val="32"/>
          <w:szCs w:val="32"/>
        </w:rPr>
      </w:pPr>
      <w:r>
        <w:rPr>
          <w:rFonts w:hint="eastAsia" w:ascii="Times New Roman" w:hAnsi="Times New Roman" w:cs="仿宋_GB2312"/>
          <w:sz w:val="32"/>
          <w:szCs w:val="32"/>
        </w:rPr>
        <w:t>国土空间总体规划分为省、设区的市、县（市）、乡镇四级，一般以行政区域为编制范围，规划期限一般为十五年，主要包括下列内容：</w:t>
      </w:r>
    </w:p>
    <w:p w14:paraId="4B3C4142">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（一）国民经济和社会发展规划纲要、国家和省重大战略实施的空间保障方案；</w:t>
      </w:r>
    </w:p>
    <w:p w14:paraId="7135EE12">
      <w:pPr>
        <w:ind w:firstLine="632" w:firstLineChars="200"/>
        <w:rPr>
          <w:rFonts w:ascii="Times New Roman" w:hAnsi="Times New Roman" w:cs="仿宋_GB2312"/>
          <w:sz w:val="32"/>
          <w:szCs w:val="32"/>
        </w:rPr>
      </w:pPr>
      <w:r>
        <w:rPr>
          <w:rFonts w:hint="eastAsia" w:ascii="Times New Roman" w:hAnsi="Times New Roman" w:cs="仿宋_GB2312"/>
          <w:sz w:val="32"/>
          <w:szCs w:val="32"/>
        </w:rPr>
        <w:t>（二）农业、生态、城镇等主体功能空间总体格局，各类用途分区以及约束性指标、用途准入和退出等管制要求，村庄发展管控方向分类、村庄建设边界范围；</w:t>
      </w:r>
    </w:p>
    <w:p w14:paraId="49C965A2">
      <w:pPr>
        <w:ind w:firstLine="632" w:firstLineChars="200"/>
        <w:rPr>
          <w:rFonts w:ascii="Times New Roman" w:hAnsi="Times New Roman" w:cs="仿宋_GB2312"/>
          <w:sz w:val="32"/>
          <w:szCs w:val="32"/>
        </w:rPr>
      </w:pPr>
      <w:r>
        <w:rPr>
          <w:rFonts w:hint="eastAsia" w:ascii="Times New Roman" w:hAnsi="Times New Roman" w:cs="仿宋_GB2312"/>
          <w:sz w:val="32"/>
          <w:szCs w:val="32"/>
        </w:rPr>
        <w:t>（三）自然资源、历史文化保护与利用；</w:t>
      </w:r>
    </w:p>
    <w:p w14:paraId="4DF146B0">
      <w:pPr>
        <w:ind w:firstLine="632" w:firstLineChars="200"/>
        <w:rPr>
          <w:rFonts w:ascii="Times New Roman" w:hAnsi="Times New Roman" w:cs="仿宋_GB2312"/>
          <w:sz w:val="32"/>
          <w:szCs w:val="32"/>
        </w:rPr>
      </w:pPr>
      <w:r>
        <w:rPr>
          <w:rFonts w:hint="eastAsia" w:ascii="Times New Roman" w:hAnsi="Times New Roman" w:cs="仿宋_GB2312"/>
          <w:sz w:val="32"/>
          <w:szCs w:val="32"/>
        </w:rPr>
        <w:t>（四）重大基础设施、公共服务设施、市政公用设施、国防动员设施、安全防灾等支撑体系；</w:t>
      </w:r>
    </w:p>
    <w:p w14:paraId="6CB953EF">
      <w:pPr>
        <w:ind w:firstLine="632" w:firstLineChars="200"/>
        <w:rPr>
          <w:rFonts w:ascii="Times New Roman" w:hAnsi="Times New Roman" w:cs="仿宋_GB2312"/>
          <w:sz w:val="32"/>
          <w:szCs w:val="32"/>
        </w:rPr>
      </w:pPr>
      <w:r>
        <w:rPr>
          <w:rFonts w:hint="eastAsia" w:ascii="Times New Roman" w:hAnsi="Times New Roman" w:cs="仿宋_GB2312"/>
          <w:sz w:val="32"/>
          <w:szCs w:val="32"/>
        </w:rPr>
        <w:t>（五）规划传导与规划实施管理机制；</w:t>
      </w:r>
    </w:p>
    <w:p w14:paraId="7CF70441">
      <w:pPr>
        <w:ind w:firstLine="632" w:firstLineChars="200"/>
        <w:rPr>
          <w:rFonts w:ascii="Times New Roman" w:hAnsi="Times New Roman" w:cs="仿宋_GB2312"/>
          <w:sz w:val="32"/>
          <w:szCs w:val="32"/>
        </w:rPr>
      </w:pPr>
      <w:r>
        <w:rPr>
          <w:rFonts w:hint="eastAsia" w:ascii="Times New Roman" w:hAnsi="Times New Roman" w:cs="仿宋_GB2312"/>
          <w:sz w:val="32"/>
          <w:szCs w:val="32"/>
        </w:rPr>
        <w:t>（六）需要载明的其他事项。</w:t>
      </w:r>
    </w:p>
    <w:p w14:paraId="6A619E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国土空间总体规划按照下列规定组织编制、审批：</w:t>
      </w:r>
    </w:p>
    <w:p w14:paraId="493A5B2A">
      <w:pPr>
        <w:ind w:firstLine="632" w:firstLineChars="200"/>
        <w:rPr>
          <w:rFonts w:ascii="Times New Roman" w:hAnsi="Times New Roman" w:cs="仿宋_GB2312"/>
          <w:sz w:val="32"/>
          <w:szCs w:val="32"/>
        </w:rPr>
      </w:pPr>
      <w:r>
        <w:rPr>
          <w:rFonts w:hint="eastAsia" w:ascii="Times New Roman" w:hAnsi="Times New Roman" w:cs="仿宋_GB2312"/>
          <w:sz w:val="32"/>
          <w:szCs w:val="32"/>
        </w:rPr>
        <w:t>（一）省国土空间总体规划由省人民政府组织编制，经省人民代表大会常务委员会审议后，报国务院批准；</w:t>
      </w:r>
    </w:p>
    <w:p w14:paraId="6A9D0EC7">
      <w:pPr>
        <w:ind w:firstLine="632" w:firstLineChars="200"/>
        <w:rPr>
          <w:rFonts w:ascii="Times New Roman" w:hAnsi="Times New Roman" w:cs="仿宋_GB2312"/>
          <w:sz w:val="32"/>
          <w:szCs w:val="32"/>
        </w:rPr>
      </w:pPr>
      <w:r>
        <w:rPr>
          <w:rFonts w:hint="eastAsia" w:ascii="Times New Roman" w:hAnsi="Times New Roman" w:cs="仿宋_GB2312"/>
          <w:sz w:val="32"/>
          <w:szCs w:val="32"/>
        </w:rPr>
        <w:t>（二）设区的市国土空间总体规划由设区的市人民政府组织编制，经本级人民代表大会常务委员会审议后，报省人民政府批准；依法应当由国务院批准的，经本级人民代表大会常务委员会审议和省人民政府审核同意后，报国务院批准；</w:t>
      </w:r>
    </w:p>
    <w:p w14:paraId="04E36265">
      <w:pPr>
        <w:ind w:firstLine="632" w:firstLineChars="200"/>
        <w:rPr>
          <w:rFonts w:ascii="Times New Roman" w:hAnsi="Times New Roman" w:cs="仿宋_GB2312"/>
          <w:sz w:val="32"/>
          <w:szCs w:val="32"/>
        </w:rPr>
      </w:pPr>
      <w:r>
        <w:rPr>
          <w:rFonts w:hint="eastAsia" w:ascii="Times New Roman" w:hAnsi="Times New Roman" w:cs="仿宋_GB2312"/>
          <w:sz w:val="32"/>
          <w:szCs w:val="32"/>
        </w:rPr>
        <w:t>（三）县（市）国土空间总体规划由县（市）人民政府组织编制，经本级人民代表大会常务委员会审议和设区的市人民政府审核同意后，报省人民政府批准；</w:t>
      </w:r>
    </w:p>
    <w:p w14:paraId="7C52F4DA">
      <w:pPr>
        <w:ind w:firstLine="632" w:firstLineChars="200"/>
        <w:rPr>
          <w:rFonts w:ascii="Times New Roman" w:hAnsi="Times New Roman" w:cs="仿宋_GB2312"/>
          <w:sz w:val="32"/>
          <w:szCs w:val="32"/>
        </w:rPr>
      </w:pPr>
      <w:r>
        <w:rPr>
          <w:rFonts w:hint="eastAsia" w:ascii="Times New Roman" w:hAnsi="Times New Roman" w:cs="仿宋_GB2312"/>
          <w:sz w:val="32"/>
          <w:szCs w:val="32"/>
        </w:rPr>
        <w:t>（四）乡镇国土空间总体规划由乡镇人民政府组织编制，经乡镇人民代表大会审议和县（市、区）人民政府审核同意后，报省人民政府授权的设区的市人民政府批准；县（市、区）人民政府可以决定以若干相邻乡镇为范围组织编制乡镇国土空间总体规划，经本级人民代表大会常务委员会审议后，报省人民政府授权的设区的市人民政府批准。</w:t>
      </w:r>
    </w:p>
    <w:p w14:paraId="2ACBD1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设区的市人民政府可以以全部或者部分市辖区为范围，组织编制市区国土空间总体规划，经设区的市人民代表大会常务委员会审议后，报省人民政府批准。</w:t>
      </w:r>
    </w:p>
    <w:p w14:paraId="20C37887">
      <w:pPr>
        <w:ind w:firstLine="632" w:firstLineChars="200"/>
        <w:rPr>
          <w:rFonts w:ascii="Times New Roman" w:hAnsi="Times New Roman" w:cs="仿宋_GB2312"/>
          <w:sz w:val="32"/>
          <w:szCs w:val="32"/>
        </w:rPr>
      </w:pPr>
      <w:r>
        <w:rPr>
          <w:rFonts w:hint="eastAsia" w:ascii="Times New Roman" w:hAnsi="Times New Roman" w:cs="仿宋_GB2312"/>
          <w:sz w:val="32"/>
          <w:szCs w:val="32"/>
        </w:rPr>
        <w:t>市辖区不单独编制总体规划；确需单独编制总体规划的，应当经省人民政府同意后，按照县（市）国土空间总体规划报经批准。</w:t>
      </w:r>
    </w:p>
    <w:p w14:paraId="24C5D6A3">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街道不单独编制总体规划；确需单独编制总体规划的，应当经设区的市人民政府同意后，按照乡镇国土空间总体规划报经批准。</w:t>
      </w:r>
    </w:p>
    <w:p w14:paraId="440BF0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有下列情形之一确需修改国土空间总体规划的，应当按照国家和省规定的权限、程序进行修改：</w:t>
      </w:r>
    </w:p>
    <w:p w14:paraId="4832E30C">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（一）国家和省重大战略、重大政策调整；</w:t>
      </w:r>
    </w:p>
    <w:p w14:paraId="5DE10CB5">
      <w:pPr>
        <w:ind w:firstLine="632" w:firstLineChars="200"/>
        <w:rPr>
          <w:rFonts w:ascii="Times New Roman" w:hAnsi="Times New Roman" w:cs="仿宋_GB2312"/>
          <w:sz w:val="32"/>
          <w:szCs w:val="32"/>
        </w:rPr>
      </w:pPr>
      <w:r>
        <w:rPr>
          <w:rFonts w:hint="eastAsia" w:ascii="Times New Roman" w:hAnsi="Times New Roman" w:cs="仿宋_GB2312"/>
          <w:sz w:val="32"/>
          <w:szCs w:val="32"/>
        </w:rPr>
        <w:t>（二）行政区划调整或者上级国土空间总体规划修改；</w:t>
      </w:r>
    </w:p>
    <w:p w14:paraId="17013F59">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（三）国家和省能源、交通、水利等重大工程建设项目需要；</w:t>
      </w:r>
    </w:p>
    <w:p w14:paraId="587751D0">
      <w:pPr>
        <w:ind w:firstLine="632" w:firstLineChars="200"/>
        <w:rPr>
          <w:rFonts w:ascii="Times New Roman" w:hAnsi="Times New Roman" w:cs="仿宋_GB2312"/>
          <w:sz w:val="32"/>
          <w:szCs w:val="32"/>
        </w:rPr>
      </w:pPr>
      <w:r>
        <w:rPr>
          <w:rFonts w:hint="eastAsia" w:ascii="Times New Roman" w:hAnsi="Times New Roman" w:cs="仿宋_GB2312"/>
          <w:sz w:val="32"/>
          <w:szCs w:val="32"/>
        </w:rPr>
        <w:t>（四）重大国防、公共安全等建设项目需要；</w:t>
      </w:r>
    </w:p>
    <w:p w14:paraId="025215E1">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（五）法律、法规规定或者省人民政府确定的其他情形。</w:t>
      </w:r>
    </w:p>
    <w:p w14:paraId="0B32915A">
      <w:pPr>
        <w:rPr>
          <w:rFonts w:ascii="Times New Roman" w:hAnsi="Times New Roman" w:eastAsia="宋体" w:cs="宋体"/>
          <w:szCs w:val="32"/>
        </w:rPr>
      </w:pPr>
    </w:p>
    <w:p w14:paraId="10A85606">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详细规划</w:t>
      </w:r>
    </w:p>
    <w:p w14:paraId="3085BF3B">
      <w:pPr>
        <w:rPr>
          <w:rFonts w:ascii="Times New Roman" w:hAnsi="Times New Roman" w:eastAsia="宋体" w:cs="宋体"/>
          <w:szCs w:val="32"/>
        </w:rPr>
      </w:pPr>
    </w:p>
    <w:p w14:paraId="4F583B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国土空间详细规划是对单元地块用途、保护力度、开发强度和管控要求等作出的实施性安排，是依法核发建设项目规划许可、进行各项建设等活动的依据。</w:t>
      </w:r>
    </w:p>
    <w:p w14:paraId="3C3ACA2A">
      <w:pPr>
        <w:ind w:firstLine="632" w:firstLineChars="200"/>
        <w:rPr>
          <w:rFonts w:ascii="Times New Roman" w:hAnsi="Times New Roman" w:cs="仿宋_GB2312"/>
          <w:sz w:val="32"/>
          <w:szCs w:val="32"/>
        </w:rPr>
      </w:pPr>
      <w:r>
        <w:rPr>
          <w:rFonts w:hint="eastAsia" w:ascii="Times New Roman" w:hAnsi="Times New Roman" w:cs="仿宋_GB2312"/>
          <w:sz w:val="32"/>
          <w:szCs w:val="32"/>
        </w:rPr>
        <w:t>国土空间详细规划应当根据国土空间总体规划确定的详细规划单元组织编制；总体规划难以确定详细规划单元的，应当明确详细规划单元的划分原则。城镇开发边界内的区域应当编制国土空间详细规划。</w:t>
      </w:r>
    </w:p>
    <w:p w14:paraId="390FBF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国土空间详细规划由设区的市、县（市）自然资源主管部门组织编制，报本级人民政府批准。</w:t>
      </w:r>
    </w:p>
    <w:p w14:paraId="2171D37C">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编制国土空间详细规划，应当统筹生产、生活、生态和安全功能需求，落实国土空间总体规划战略目标、底线管控、功能布局、空间结构、资源利用等方面的要求。</w:t>
      </w:r>
    </w:p>
    <w:p w14:paraId="676DB6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在城镇开发边界内的村庄，应当纳入该区域的国土空间详细规划统筹编制，不单独编制村庄规划。村庄部分区域位于城镇开发边界内的，可以将村庄整体纳入国土空间详细规划统筹编制。</w:t>
      </w:r>
    </w:p>
    <w:p w14:paraId="55DC9A14">
      <w:pPr>
        <w:ind w:firstLine="632" w:firstLineChars="200"/>
        <w:rPr>
          <w:rFonts w:ascii="Times New Roman" w:hAnsi="Times New Roman" w:cs="仿宋_GB2312"/>
          <w:sz w:val="32"/>
          <w:szCs w:val="32"/>
        </w:rPr>
      </w:pPr>
      <w:r>
        <w:rPr>
          <w:rFonts w:hint="eastAsia" w:ascii="Times New Roman" w:hAnsi="Times New Roman" w:cs="仿宋_GB2312"/>
          <w:sz w:val="32"/>
          <w:szCs w:val="32"/>
        </w:rPr>
        <w:t>在城镇开发边界外的村庄，应当编制村庄规划作为国土空间详细规划。村庄规划一般应当以行政村为单元编制，因自然地形原因或者集聚发展需要，也可以以跨若干行政村的特定区域为单元进行编制。</w:t>
      </w:r>
    </w:p>
    <w:p w14:paraId="37758E10">
      <w:pPr>
        <w:ind w:firstLine="632" w:firstLineChars="200"/>
        <w:rPr>
          <w:rFonts w:ascii="Times New Roman" w:hAnsi="Times New Roman" w:cs="仿宋_GB2312"/>
          <w:sz w:val="32"/>
          <w:szCs w:val="32"/>
        </w:rPr>
      </w:pPr>
      <w:r>
        <w:rPr>
          <w:rFonts w:hint="eastAsia" w:ascii="Times New Roman" w:hAnsi="Times New Roman" w:cs="仿宋_GB2312"/>
          <w:sz w:val="32"/>
          <w:szCs w:val="32"/>
        </w:rPr>
        <w:t>国土空间总体规划明确为搬迁撤并类的村庄，可以不编制村庄规划。</w:t>
      </w:r>
    </w:p>
    <w:p w14:paraId="3AAE3E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村庄规划由乡镇人民政府、街道办事处组织编制，经村民会议或者村民代表会议同意后，报县（市）人民政府批准；市辖区范围内的村庄规划，报设区的市人民政府或者其授权的区人民政府批准。</w:t>
      </w:r>
    </w:p>
    <w:p w14:paraId="24B1A0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因国土空间总体规划修改，公共服务设施、市政公用设施和其他重大项目建设，以及设区的市、县（市）人民政府确定的其他情形确需修改国土空间详细规划的，组织编制机关应当开展修改必要性评估，征求利害关系人意见，并按照国家和省规定的权限和程序组织修改、报批。</w:t>
      </w:r>
    </w:p>
    <w:p w14:paraId="6F5EFDB5">
      <w:pPr>
        <w:ind w:firstLine="632" w:firstLineChars="200"/>
        <w:rPr>
          <w:rFonts w:ascii="Times New Roman" w:hAnsi="Times New Roman" w:cs="仿宋_GB2312"/>
          <w:sz w:val="32"/>
          <w:szCs w:val="32"/>
        </w:rPr>
      </w:pPr>
      <w:r>
        <w:rPr>
          <w:rFonts w:hint="eastAsia" w:ascii="Times New Roman" w:hAnsi="Times New Roman" w:cs="仿宋_GB2312"/>
          <w:sz w:val="32"/>
          <w:szCs w:val="32"/>
        </w:rPr>
        <w:t>修改国土空间详细规划涉及国土空间总体规划确定的强制性内容、约束性指标调整的，应当按照程序先修改国土空间总体规划。</w:t>
      </w:r>
    </w:p>
    <w:p w14:paraId="7A119A53">
      <w:pPr>
        <w:rPr>
          <w:rFonts w:ascii="Times New Roman" w:hAnsi="Times New Roman" w:eastAsia="宋体" w:cs="宋体"/>
          <w:szCs w:val="32"/>
        </w:rPr>
      </w:pPr>
    </w:p>
    <w:p w14:paraId="288CD505">
      <w:pPr>
        <w:jc w:val="center"/>
        <w:rPr>
          <w:rFonts w:ascii="Times New Roman" w:hAnsi="Times New Roman" w:eastAsia="宋体" w:cs="宋体"/>
          <w:szCs w:val="32"/>
        </w:rPr>
      </w:pPr>
      <w:r>
        <w:rPr>
          <w:rFonts w:hint="eastAsia" w:ascii="Times New Roman" w:hAnsi="Times New Roman" w:eastAsia="宋体" w:cs="宋体"/>
          <w:sz w:val="32"/>
          <w:szCs w:val="32"/>
          <w:lang w:val="en-US"/>
        </w:rPr>
        <w:t>第四节　专项规划</w:t>
      </w:r>
    </w:p>
    <w:p w14:paraId="73A646CB">
      <w:pPr>
        <w:rPr>
          <w:rFonts w:ascii="Times New Roman" w:hAnsi="Times New Roman" w:eastAsia="宋体" w:cs="宋体"/>
          <w:szCs w:val="32"/>
        </w:rPr>
      </w:pPr>
    </w:p>
    <w:p w14:paraId="43E48F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国土空间专项规划是针对特定领域或者特定区域（流域），为体现特定功能，对落实相关领域建设项目以及特定区域（流域）保护、开发、利用、修复作出的专门安排。国土空间专项规划之间应当相互协调。</w:t>
      </w:r>
    </w:p>
    <w:p w14:paraId="5481252F">
      <w:pPr>
        <w:ind w:firstLine="632" w:firstLineChars="200"/>
        <w:rPr>
          <w:rFonts w:ascii="Times New Roman" w:hAnsi="Times New Roman" w:cs="仿宋_GB2312"/>
          <w:sz w:val="32"/>
          <w:szCs w:val="32"/>
        </w:rPr>
      </w:pPr>
      <w:r>
        <w:rPr>
          <w:rFonts w:hint="eastAsia" w:ascii="Times New Roman" w:hAnsi="Times New Roman" w:cs="仿宋_GB2312"/>
          <w:sz w:val="32"/>
          <w:szCs w:val="32"/>
        </w:rPr>
        <w:t>国土空间专项规划涉及建设项目布局的，应当明确建设项目的规模、等级以及基本的建设范围、建设边界等相关要求，协调好与周边功能布局的关系。</w:t>
      </w:r>
    </w:p>
    <w:p w14:paraId="467B5E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国土空间专项规划实行清单管理。县级以上人民政府可以根据需要决定编制下列领域、区域（流域）的专项规划，并列入专项规划清单：</w:t>
      </w:r>
    </w:p>
    <w:p w14:paraId="6FB70A63">
      <w:pPr>
        <w:ind w:firstLine="632" w:firstLineChars="200"/>
        <w:rPr>
          <w:rFonts w:ascii="Times New Roman" w:hAnsi="Times New Roman" w:cs="仿宋_GB2312"/>
          <w:sz w:val="32"/>
          <w:szCs w:val="32"/>
        </w:rPr>
      </w:pPr>
      <w:r>
        <w:rPr>
          <w:rFonts w:hint="eastAsia" w:ascii="Times New Roman" w:hAnsi="Times New Roman" w:cs="仿宋_GB2312"/>
          <w:sz w:val="32"/>
          <w:szCs w:val="32"/>
        </w:rPr>
        <w:t>（一）交通、能源、水利等基础设施专项规划；</w:t>
      </w:r>
    </w:p>
    <w:p w14:paraId="0E9BF05C">
      <w:pPr>
        <w:ind w:firstLine="632" w:firstLineChars="200"/>
        <w:rPr>
          <w:rFonts w:ascii="Times New Roman" w:hAnsi="Times New Roman" w:cs="仿宋_GB2312"/>
          <w:sz w:val="32"/>
          <w:szCs w:val="32"/>
        </w:rPr>
      </w:pPr>
      <w:r>
        <w:rPr>
          <w:rFonts w:hint="eastAsia" w:ascii="Times New Roman" w:hAnsi="Times New Roman" w:cs="仿宋_GB2312"/>
          <w:sz w:val="32"/>
          <w:szCs w:val="32"/>
        </w:rPr>
        <w:t>（二）教育、医疗、养老、殡葬、文化、体育等公共服务设施专项规划；</w:t>
      </w:r>
    </w:p>
    <w:p w14:paraId="1797B9CA">
      <w:pPr>
        <w:ind w:firstLine="632" w:firstLineChars="200"/>
        <w:rPr>
          <w:rFonts w:ascii="Times New Roman" w:hAnsi="Times New Roman" w:cs="仿宋_GB2312"/>
          <w:sz w:val="32"/>
          <w:szCs w:val="32"/>
        </w:rPr>
      </w:pPr>
      <w:r>
        <w:rPr>
          <w:rFonts w:hint="eastAsia" w:ascii="Times New Roman" w:hAnsi="Times New Roman" w:cs="仿宋_GB2312"/>
          <w:sz w:val="32"/>
          <w:szCs w:val="32"/>
        </w:rPr>
        <w:t>（三）给排水、供电、供气、消防等市政公用设施专项规划；</w:t>
      </w:r>
    </w:p>
    <w:p w14:paraId="1ADE22A9">
      <w:pPr>
        <w:ind w:firstLine="632" w:firstLineChars="200"/>
        <w:rPr>
          <w:rFonts w:ascii="Times New Roman" w:hAnsi="Times New Roman" w:cs="仿宋_GB2312"/>
          <w:sz w:val="32"/>
          <w:szCs w:val="32"/>
        </w:rPr>
      </w:pPr>
      <w:r>
        <w:rPr>
          <w:rFonts w:hint="eastAsia" w:ascii="Times New Roman" w:hAnsi="Times New Roman" w:cs="仿宋_GB2312"/>
          <w:sz w:val="32"/>
          <w:szCs w:val="32"/>
        </w:rPr>
        <w:t>（四）生态环境保护、文物保护、历史文化名城名镇名村保护、自然保护地、城市绿地等专项规划；</w:t>
      </w:r>
    </w:p>
    <w:p w14:paraId="12911AA2">
      <w:pPr>
        <w:ind w:firstLine="632" w:firstLineChars="200"/>
        <w:rPr>
          <w:rFonts w:ascii="Times New Roman" w:hAnsi="Times New Roman" w:cs="仿宋_GB2312"/>
          <w:sz w:val="32"/>
          <w:szCs w:val="32"/>
        </w:rPr>
      </w:pPr>
      <w:r>
        <w:rPr>
          <w:rFonts w:hint="eastAsia" w:ascii="Times New Roman" w:hAnsi="Times New Roman" w:cs="仿宋_GB2312"/>
          <w:sz w:val="32"/>
          <w:szCs w:val="32"/>
        </w:rPr>
        <w:t>（五）城市更新、生态修复、防灾减灾、应急避险等专项规划；</w:t>
      </w:r>
    </w:p>
    <w:p w14:paraId="055E63A6">
      <w:pPr>
        <w:ind w:firstLine="632" w:firstLineChars="200"/>
        <w:rPr>
          <w:rFonts w:ascii="Times New Roman" w:hAnsi="Times New Roman" w:cs="仿宋_GB2312"/>
          <w:sz w:val="32"/>
          <w:szCs w:val="32"/>
        </w:rPr>
      </w:pPr>
      <w:r>
        <w:rPr>
          <w:rFonts w:hint="eastAsia" w:ascii="Times New Roman" w:hAnsi="Times New Roman" w:cs="仿宋_GB2312"/>
          <w:sz w:val="32"/>
          <w:szCs w:val="32"/>
        </w:rPr>
        <w:t>（六）海岸带、都市圈（区）、科创走廊、开发区（园区）等特定区域（流域）专项规划；</w:t>
      </w:r>
    </w:p>
    <w:p w14:paraId="7ACAA0FD">
      <w:pPr>
        <w:ind w:firstLine="632" w:firstLineChars="200"/>
        <w:rPr>
          <w:rFonts w:ascii="Times New Roman" w:hAnsi="Times New Roman" w:cs="仿宋_GB2312"/>
          <w:sz w:val="32"/>
          <w:szCs w:val="32"/>
        </w:rPr>
      </w:pPr>
      <w:r>
        <w:rPr>
          <w:rFonts w:hint="eastAsia" w:ascii="Times New Roman" w:hAnsi="Times New Roman" w:cs="仿宋_GB2312"/>
          <w:sz w:val="32"/>
          <w:szCs w:val="32"/>
        </w:rPr>
        <w:t>（七）国土空间总体规划和县级以上人民政府明确要求编制的其他专项规划。</w:t>
      </w:r>
    </w:p>
    <w:p w14:paraId="5E1CF1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国土空间专项规划由相关主管部门按照职责组织编制，报本级人民政府批准；跨区域（流域）的国土空间专项规划，报共同的上一级人民政府批准。</w:t>
      </w:r>
    </w:p>
    <w:p w14:paraId="78465F2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县级以上人民政府可以指定自然资源主管部门会同相关主管部门编制特定领域或者特定区域（流域）的国土空间专项规划。</w:t>
      </w:r>
    </w:p>
    <w:p w14:paraId="33AF0F72">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其他相关主管部门组织编制国土空间专项规划的，应当与自然资源主管部门会商，明确相关编制要求。</w:t>
      </w:r>
    </w:p>
    <w:p w14:paraId="0BDF15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国土空间专项规划由相关主管部门组织编制的，应当经自然资源主管部门规划一致性审查。未经规划一致性审查通过，不得报请批准。</w:t>
      </w:r>
    </w:p>
    <w:p w14:paraId="4FDCBA3D">
      <w:pPr>
        <w:ind w:firstLine="632" w:firstLineChars="200"/>
        <w:rPr>
          <w:rFonts w:ascii="Times New Roman" w:hAnsi="Times New Roman" w:cs="仿宋_GB2312"/>
          <w:sz w:val="32"/>
          <w:szCs w:val="32"/>
        </w:rPr>
      </w:pPr>
      <w:r>
        <w:rPr>
          <w:rFonts w:hint="eastAsia" w:ascii="Times New Roman" w:hAnsi="Times New Roman" w:cs="仿宋_GB2312"/>
          <w:sz w:val="32"/>
          <w:szCs w:val="32"/>
        </w:rPr>
        <w:t>规划一致性审查办法由省自然资源主管部门制定，报省人民政府批准。</w:t>
      </w:r>
    </w:p>
    <w:p w14:paraId="432132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因上级国土空间规划修改，国家标准、行业标准发生变化对设施配置规模和空间布局产生重大影响等情形确需修改国土空间专项规划的，应当开展修改必要性评估，并按照国家和省规定的权限和程序组织修改、报批。</w:t>
      </w:r>
    </w:p>
    <w:p w14:paraId="3BDFEB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法律、法规对文物保护、历史文化名城名镇名村保护、自然保护地等规划的制定、修改和实施另有规定的，从其规定，但应当依照本条例规定进行规划一致性审查。</w:t>
      </w:r>
    </w:p>
    <w:p w14:paraId="7A2891CF">
      <w:pPr>
        <w:rPr>
          <w:rFonts w:ascii="Times New Roman" w:hAnsi="Times New Roman" w:eastAsia="宋体" w:cs="宋体"/>
          <w:szCs w:val="32"/>
        </w:rPr>
      </w:pPr>
    </w:p>
    <w:p w14:paraId="2082E1EE">
      <w:pPr>
        <w:jc w:val="center"/>
        <w:rPr>
          <w:rFonts w:ascii="Times New Roman" w:hAnsi="Times New Roman" w:eastAsia="黑体" w:cs="黑体"/>
          <w:szCs w:val="32"/>
        </w:rPr>
      </w:pPr>
      <w:r>
        <w:rPr>
          <w:rFonts w:hint="eastAsia" w:ascii="Times New Roman" w:hAnsi="Times New Roman" w:eastAsia="黑体" w:cs="黑体"/>
          <w:szCs w:val="32"/>
        </w:rPr>
        <w:t>第三章　国土空间用途分区管制和优化</w:t>
      </w:r>
    </w:p>
    <w:p w14:paraId="085C4F20">
      <w:pPr>
        <w:rPr>
          <w:rFonts w:ascii="Times New Roman" w:hAnsi="Times New Roman" w:eastAsia="宋体" w:cs="宋体"/>
          <w:szCs w:val="32"/>
        </w:rPr>
      </w:pPr>
    </w:p>
    <w:p w14:paraId="6FFA6F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本省实行国土空间用途分区管制制度。</w:t>
      </w:r>
    </w:p>
    <w:p w14:paraId="122EA671">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及有关部门应当根据永久基本农田、生态保护红线、城镇开发边界的严格管控要求，加强对耕地和永久基本农田、生态保护区、生态控制区、城镇重要功能区、重大基础设施廊道、地质灾害防治区、洪涝灾害风险控制区、重要历史文化资源保护区、城乡风貌控制区、海洋功能区等空间区域的具体管控，并依据国土空间规划实施区内空间的优化和融合。</w:t>
      </w:r>
    </w:p>
    <w:p w14:paraId="636CEC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本省对耕地和永久基本农田实行特殊保护。耕地保有量和永久基本农田保护任务应当依法落实到具体地块，任何单位和个人不得擅自占用或者改变用途。因建设必要的农田水利设施、田间道路等配套设施或者优化永久基本农田布局，确需少量占用永久基本农田的，应当按照规定程序报经批准，并按照规定补划。</w:t>
      </w:r>
    </w:p>
    <w:p w14:paraId="2F8AD71C">
      <w:pPr>
        <w:ind w:firstLine="632" w:firstLineChars="200"/>
        <w:rPr>
          <w:rFonts w:ascii="Times New Roman" w:hAnsi="Times New Roman" w:cs="仿宋_GB2312"/>
          <w:sz w:val="32"/>
          <w:szCs w:val="32"/>
        </w:rPr>
      </w:pPr>
      <w:r>
        <w:rPr>
          <w:rFonts w:hint="eastAsia" w:ascii="Times New Roman" w:hAnsi="Times New Roman" w:cs="仿宋_GB2312"/>
          <w:sz w:val="32"/>
          <w:szCs w:val="32"/>
        </w:rPr>
        <w:t>严格控制将耕地转为建设用地或者林地、草地、园地等其他农用地及农业设施建设用地。经依法批准转用的，应当按照国家规定落实耕地占补平衡要求。</w:t>
      </w:r>
    </w:p>
    <w:p w14:paraId="3F4C18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本省对生态保护红线内的生态保护区实行严格保护。其中，自然保护地核心保护区原则上禁止人为活动；其他区域禁止开发性、生产性建设活动，仅允许依法开展对生态功能不造成破坏的有限人为活动。</w:t>
      </w:r>
    </w:p>
    <w:p w14:paraId="21D8B3F5">
      <w:pPr>
        <w:ind w:firstLine="632" w:firstLineChars="200"/>
        <w:rPr>
          <w:rFonts w:ascii="Times New Roman" w:hAnsi="Times New Roman" w:cs="仿宋_GB2312"/>
          <w:sz w:val="32"/>
          <w:szCs w:val="32"/>
        </w:rPr>
      </w:pPr>
      <w:r>
        <w:rPr>
          <w:rFonts w:hint="eastAsia" w:ascii="Times New Roman" w:hAnsi="Times New Roman" w:cs="仿宋_GB2312"/>
          <w:sz w:val="32"/>
          <w:szCs w:val="32"/>
        </w:rPr>
        <w:t>限制在生态保护红线外的生态控制区开展建设活动，具体准入情形依照法律、法规的规定执行。</w:t>
      </w:r>
    </w:p>
    <w:p w14:paraId="0DAD8D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城镇建设用地一般应当集中布局在城镇开发边界内。除国家另有规定外，在城镇开发边界外不得开展城镇集中建设，不得设立各类开发区、城市新区。</w:t>
      </w:r>
    </w:p>
    <w:p w14:paraId="04948CB0">
      <w:pPr>
        <w:ind w:firstLine="632" w:firstLineChars="200"/>
        <w:rPr>
          <w:rFonts w:ascii="Times New Roman" w:hAnsi="Times New Roman" w:cs="仿宋_GB2312"/>
          <w:sz w:val="32"/>
          <w:szCs w:val="32"/>
        </w:rPr>
      </w:pPr>
      <w:r>
        <w:rPr>
          <w:rFonts w:hint="eastAsia" w:ascii="Times New Roman" w:hAnsi="Times New Roman" w:cs="仿宋_GB2312"/>
          <w:sz w:val="32"/>
          <w:szCs w:val="32"/>
        </w:rPr>
        <w:t>村庄建设用地应当集中布局在村庄建设边界内，村庄建设用地应当优先保障农村村民住宅和公共服务设施的用地需求。</w:t>
      </w:r>
    </w:p>
    <w:p w14:paraId="6A1BF29B">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及有关部门应当采取措施，保障农村无房户、住房困难户住宅建设用地指标单列和规划空间落地。国土空间总体规划确定为搬迁撤并类的村庄，应当同时明确该村无房户、住房困难户居住需求的保障方案。</w:t>
      </w:r>
    </w:p>
    <w:p w14:paraId="7DBA616F">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下列特殊建设项目可以在城镇开发边界和村庄建设边界外布局：</w:t>
      </w:r>
    </w:p>
    <w:p w14:paraId="692D25DB">
      <w:pPr>
        <w:ind w:firstLine="632" w:firstLineChars="200"/>
        <w:rPr>
          <w:rFonts w:ascii="Times New Roman" w:hAnsi="Times New Roman" w:cs="仿宋_GB2312"/>
          <w:sz w:val="32"/>
          <w:szCs w:val="32"/>
        </w:rPr>
      </w:pPr>
      <w:r>
        <w:rPr>
          <w:rFonts w:hint="eastAsia" w:ascii="Times New Roman" w:hAnsi="Times New Roman" w:cs="仿宋_GB2312"/>
          <w:sz w:val="32"/>
          <w:szCs w:val="32"/>
        </w:rPr>
        <w:t>（一）交通、能源、水利、矿山等单独选址的建设项目；</w:t>
      </w:r>
    </w:p>
    <w:p w14:paraId="09BAAE7F">
      <w:pPr>
        <w:ind w:firstLine="632" w:firstLineChars="200"/>
        <w:rPr>
          <w:rFonts w:ascii="Times New Roman" w:hAnsi="Times New Roman" w:cs="仿宋_GB2312"/>
          <w:sz w:val="32"/>
          <w:szCs w:val="32"/>
        </w:rPr>
      </w:pPr>
      <w:r>
        <w:rPr>
          <w:rFonts w:hint="eastAsia" w:ascii="Times New Roman" w:hAnsi="Times New Roman" w:cs="仿宋_GB2312"/>
          <w:sz w:val="32"/>
          <w:szCs w:val="32"/>
        </w:rPr>
        <w:t>（二）军事设施、文物古迹、风景名胜、监教场所、殡葬等特殊用地建设项目；</w:t>
      </w:r>
    </w:p>
    <w:p w14:paraId="390765EB">
      <w:pPr>
        <w:ind w:firstLine="632" w:firstLineChars="200"/>
        <w:rPr>
          <w:rFonts w:ascii="Times New Roman" w:hAnsi="Times New Roman" w:cs="仿宋_GB2312"/>
          <w:sz w:val="32"/>
          <w:szCs w:val="32"/>
        </w:rPr>
      </w:pPr>
      <w:r>
        <w:rPr>
          <w:rFonts w:hint="eastAsia" w:ascii="Times New Roman" w:hAnsi="Times New Roman" w:cs="仿宋_GB2312"/>
          <w:sz w:val="32"/>
          <w:szCs w:val="32"/>
        </w:rPr>
        <w:t>（三）供变电、污水处理等有邻避效应的建设项目；</w:t>
      </w:r>
    </w:p>
    <w:p w14:paraId="1AA59954">
      <w:pPr>
        <w:ind w:firstLine="632" w:firstLineChars="200"/>
        <w:rPr>
          <w:rFonts w:ascii="Times New Roman" w:hAnsi="Times New Roman" w:cs="仿宋_GB2312"/>
          <w:sz w:val="32"/>
          <w:szCs w:val="32"/>
        </w:rPr>
      </w:pPr>
      <w:r>
        <w:rPr>
          <w:rFonts w:hint="eastAsia" w:ascii="Times New Roman" w:hAnsi="Times New Roman" w:cs="仿宋_GB2312"/>
          <w:sz w:val="32"/>
          <w:szCs w:val="32"/>
        </w:rPr>
        <w:t>（四）农村一二三产业融合发展建设项目；</w:t>
      </w:r>
    </w:p>
    <w:p w14:paraId="3EDD1662">
      <w:pPr>
        <w:ind w:firstLine="632" w:firstLineChars="200"/>
        <w:rPr>
          <w:rFonts w:ascii="Times New Roman" w:hAnsi="Times New Roman" w:cs="仿宋_GB2312"/>
          <w:sz w:val="32"/>
          <w:szCs w:val="32"/>
        </w:rPr>
      </w:pPr>
      <w:r>
        <w:rPr>
          <w:rFonts w:hint="eastAsia" w:ascii="Times New Roman" w:hAnsi="Times New Roman" w:cs="仿宋_GB2312"/>
          <w:sz w:val="32"/>
          <w:szCs w:val="32"/>
        </w:rPr>
        <w:t>（五）确需在边界外布局的其他特殊建设项目。</w:t>
      </w:r>
    </w:p>
    <w:p w14:paraId="1EECE1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保护、开发、利用海洋空间应当严格落实生态保护红线的管控要求，建立海岸线建筑物退让和管控机制，保护自然岸线风貌、自然景观以及历史、人文遗迹。</w:t>
      </w:r>
    </w:p>
    <w:p w14:paraId="594C55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自然生态资源、历史文化资源集中的地区，应当按照空间形态控制指标、历史文化保护线等国土空间规划确定的要求，实施分类保护和风貌管控。</w:t>
      </w:r>
    </w:p>
    <w:p w14:paraId="39B4A8E5">
      <w:pPr>
        <w:ind w:firstLine="632" w:firstLineChars="200"/>
        <w:rPr>
          <w:rFonts w:ascii="Times New Roman" w:hAnsi="Times New Roman" w:cs="仿宋_GB2312"/>
          <w:sz w:val="32"/>
          <w:szCs w:val="32"/>
        </w:rPr>
      </w:pPr>
      <w:r>
        <w:rPr>
          <w:rFonts w:hint="eastAsia" w:ascii="Times New Roman" w:hAnsi="Times New Roman" w:cs="仿宋_GB2312"/>
          <w:sz w:val="32"/>
          <w:szCs w:val="32"/>
        </w:rPr>
        <w:t>开发建设活动不得破坏历史文化遗产的遗产本体、传统格局、整体风貌、历史文脉。需要开展文物考古、历史文化资源前置调查等工作的，依照法律、法规的规定执行。</w:t>
      </w:r>
    </w:p>
    <w:p w14:paraId="68E962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地下空间的开发和利用应当遵循整体规划、综合开发、分层利用、互联互通的原则，充分考虑防灾减灾、人民防空、公共服务设施、市政公用设施等建设的要求。</w:t>
      </w:r>
    </w:p>
    <w:p w14:paraId="2FD6D1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设区的市、县（市）自然资源主管部门应当组织编制国土空间生态修复专项规划，提出生态修复的重点区域、目标任务、方案措施等，推进国土空间全要素整体保护、系统修复、综合治理。</w:t>
      </w:r>
    </w:p>
    <w:p w14:paraId="232A203F">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设区的市、县（市、区）人民政府及其有关部门应当按照国土空间生态修复专项规划的要求，建立健全国土空间生态修复长效机制，分区分类有序开展受损生态空间修复。</w:t>
      </w:r>
    </w:p>
    <w:p w14:paraId="07685E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设区的市、县（市、区）人民政府应当鼓励开展土地综合整治，推进节约集约用地。</w:t>
      </w:r>
    </w:p>
    <w:p w14:paraId="1C9B52A0">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县（市、区）人民政府应当按照国土空间规划要求编制土地综合整治计划，通过实施土地整理、村庄整治、城镇低效用地整治，系统推进田、水、路、林、村综合整治，促进国土空间布局优化、产业聚集发展。</w:t>
      </w:r>
    </w:p>
    <w:p w14:paraId="4DEFE844">
      <w:pPr>
        <w:ind w:firstLine="632" w:firstLineChars="200"/>
        <w:rPr>
          <w:rFonts w:ascii="Times New Roman" w:hAnsi="Times New Roman" w:cs="仿宋_GB2312"/>
          <w:sz w:val="32"/>
          <w:szCs w:val="32"/>
        </w:rPr>
      </w:pPr>
      <w:r>
        <w:rPr>
          <w:rFonts w:hint="eastAsia" w:ascii="Times New Roman" w:hAnsi="Times New Roman" w:cs="仿宋_GB2312"/>
          <w:sz w:val="32"/>
          <w:szCs w:val="32"/>
        </w:rPr>
        <w:t>确定以及开展农村土地综合整治项目，应当充分尊重项目所在地集体经济组织及相关成员意见，并依法进行公示。</w:t>
      </w:r>
    </w:p>
    <w:p w14:paraId="5368D0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设区的市、县（市、区）人民政府开展城市更新应当符合国土空间规划和用途管制要求，优先安排公共服务设施和市政公用设施建设，提升城镇功能，营造基础设施健全、公共服务便利、居住品质提升的宜居环境。</w:t>
      </w:r>
    </w:p>
    <w:p w14:paraId="47177CD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鼓励老旧小区增设公共服务设施、共用设施设备。老旧小区增设公共服务设施、共用设施设备的，应当符合国家有关房屋结构安全、消防、通风、采光、日照、隔声等强制性标准。</w:t>
      </w:r>
    </w:p>
    <w:p w14:paraId="11D00299">
      <w:pPr>
        <w:rPr>
          <w:rFonts w:ascii="Times New Roman" w:hAnsi="Times New Roman" w:eastAsia="宋体" w:cs="宋体"/>
          <w:szCs w:val="32"/>
        </w:rPr>
      </w:pPr>
    </w:p>
    <w:p w14:paraId="16451DDF">
      <w:pPr>
        <w:jc w:val="center"/>
        <w:rPr>
          <w:rFonts w:ascii="Times New Roman" w:hAnsi="Times New Roman" w:eastAsia="黑体" w:cs="黑体"/>
          <w:szCs w:val="32"/>
        </w:rPr>
      </w:pPr>
      <w:r>
        <w:rPr>
          <w:rFonts w:hint="eastAsia" w:ascii="Times New Roman" w:hAnsi="Times New Roman" w:eastAsia="黑体" w:cs="黑体"/>
          <w:szCs w:val="32"/>
        </w:rPr>
        <w:t>第四章　国土空间规划实施</w:t>
      </w:r>
    </w:p>
    <w:p w14:paraId="3FD48A26">
      <w:pPr>
        <w:rPr>
          <w:rFonts w:ascii="Times New Roman" w:hAnsi="Times New Roman" w:eastAsia="宋体" w:cs="宋体"/>
          <w:szCs w:val="32"/>
        </w:rPr>
      </w:pPr>
    </w:p>
    <w:p w14:paraId="14CBCFF8">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一般规定</w:t>
      </w:r>
    </w:p>
    <w:p w14:paraId="2B97C334">
      <w:pPr>
        <w:rPr>
          <w:rFonts w:ascii="Times New Roman" w:hAnsi="Times New Roman" w:eastAsia="宋体" w:cs="宋体"/>
          <w:szCs w:val="32"/>
        </w:rPr>
      </w:pPr>
    </w:p>
    <w:p w14:paraId="040C6E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国土空间建设活动应当符合国土空间规划，并依法取得规划许可。</w:t>
      </w:r>
    </w:p>
    <w:p w14:paraId="06B327E0">
      <w:pPr>
        <w:ind w:firstLine="632" w:firstLineChars="200"/>
        <w:rPr>
          <w:rFonts w:ascii="Times New Roman" w:hAnsi="Times New Roman" w:cs="仿宋_GB2312"/>
          <w:sz w:val="32"/>
          <w:szCs w:val="32"/>
        </w:rPr>
      </w:pPr>
      <w:r>
        <w:rPr>
          <w:rFonts w:hint="eastAsia" w:ascii="Times New Roman" w:hAnsi="Times New Roman" w:cs="仿宋_GB2312"/>
          <w:sz w:val="32"/>
          <w:szCs w:val="32"/>
        </w:rPr>
        <w:t>在已编制国土空间详细规划、村庄规划的区域内开展建设活动的，自然资源主管部门应当依据国土空间详细规划、村庄规划核定规划条件或者规划要求，作出规划许可。</w:t>
      </w:r>
    </w:p>
    <w:p w14:paraId="51F663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在城镇开发边界外未编制国土空间详细规划和村庄规划的区域开展特殊建设项目建设的，自然资源主管部门可以依据经县级以上人民政府批准的项目规划落实方案作出规划许可。</w:t>
      </w:r>
    </w:p>
    <w:p w14:paraId="74563F02">
      <w:pPr>
        <w:ind w:firstLine="632" w:firstLineChars="200"/>
        <w:rPr>
          <w:rFonts w:ascii="Times New Roman" w:hAnsi="Times New Roman" w:cs="仿宋_GB2312"/>
          <w:sz w:val="32"/>
          <w:szCs w:val="32"/>
        </w:rPr>
      </w:pPr>
      <w:r>
        <w:rPr>
          <w:rFonts w:hint="eastAsia" w:ascii="Times New Roman" w:hAnsi="Times New Roman" w:cs="仿宋_GB2312"/>
          <w:sz w:val="32"/>
          <w:szCs w:val="32"/>
        </w:rPr>
        <w:t>依据项目规划落实方案实施许可管理的具体办法，由省自然资源主管部门制定，报省人民政府批准。</w:t>
      </w:r>
    </w:p>
    <w:p w14:paraId="23D274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在未编制村庄规划的村庄范围内开展乡村公共设施、公益事业建设或者农村村民住宅建设的，自然资源主管部门可以依据通则式村庄规划作出规划许可。</w:t>
      </w:r>
    </w:p>
    <w:p w14:paraId="7E4E9A41">
      <w:pPr>
        <w:ind w:firstLine="632" w:firstLineChars="200"/>
        <w:rPr>
          <w:rFonts w:ascii="Times New Roman" w:hAnsi="Times New Roman" w:cs="仿宋_GB2312"/>
          <w:sz w:val="32"/>
          <w:szCs w:val="32"/>
        </w:rPr>
      </w:pPr>
      <w:r>
        <w:rPr>
          <w:rFonts w:hint="eastAsia" w:ascii="Times New Roman" w:hAnsi="Times New Roman" w:cs="仿宋_GB2312"/>
          <w:sz w:val="32"/>
          <w:szCs w:val="32"/>
        </w:rPr>
        <w:t>通则式村庄规划的管理规定，由设区的市、县（市）自然资源主管部门制定，报本级人民政府批准。</w:t>
      </w:r>
    </w:p>
    <w:p w14:paraId="72E2C2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与地表建设工程一并开发利用地上、地下空间的，自然资源主管部门应当一并作出规划许可；独立开发利用地上、地下空间的，单独作出规划许可。</w:t>
      </w:r>
    </w:p>
    <w:p w14:paraId="17EE73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海域和海岛保护、开发、利用等建设活动的规划许可，依照海域使用管理和海岛保护等法律、法规的规定执行。</w:t>
      </w:r>
    </w:p>
    <w:p w14:paraId="1ABD96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规划许可直接涉及申请人与他人之间重大利益关系的，规划许可机关在作出规划许可决定前，应当依法将许可内容、申请人和利害关系人享有的权利等事项在政府门户网站和建设项目现场等场所进行公示。公示期限不少于十日。</w:t>
      </w:r>
    </w:p>
    <w:p w14:paraId="7B5F7977">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申请人、利害关系人对许可事项提出异议的，规划许可机关应当研究处理并及时回复。申请人、利害关系人在法定期限内提出听证要求的，规划许可机关应当组织听证。</w:t>
      </w:r>
    </w:p>
    <w:p w14:paraId="61C75EB7">
      <w:pPr>
        <w:ind w:firstLine="632" w:firstLineChars="200"/>
        <w:rPr>
          <w:rFonts w:ascii="Times New Roman" w:hAnsi="Times New Roman" w:cs="仿宋_GB2312"/>
          <w:sz w:val="32"/>
          <w:szCs w:val="32"/>
        </w:rPr>
      </w:pPr>
      <w:r>
        <w:rPr>
          <w:rFonts w:hint="eastAsia" w:ascii="Times New Roman" w:hAnsi="Times New Roman" w:cs="仿宋_GB2312"/>
          <w:sz w:val="32"/>
          <w:szCs w:val="32"/>
        </w:rPr>
        <w:t>除法律、法规和国家另有规定外，规划许可机关应当自作出规划许可决定之日起七个工作日内，将许可内容在政府门户网站和建设项目现场等场所向社会公布。</w:t>
      </w:r>
    </w:p>
    <w:p w14:paraId="5CD4376D">
      <w:pPr>
        <w:rPr>
          <w:rFonts w:ascii="Times New Roman" w:hAnsi="Times New Roman" w:eastAsia="宋体" w:cs="宋体"/>
          <w:szCs w:val="32"/>
        </w:rPr>
      </w:pPr>
    </w:p>
    <w:p w14:paraId="64CD7EFD">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建设用地规划管理</w:t>
      </w:r>
    </w:p>
    <w:p w14:paraId="2B62C16A">
      <w:pPr>
        <w:rPr>
          <w:rFonts w:ascii="Times New Roman" w:hAnsi="Times New Roman" w:eastAsia="宋体" w:cs="宋体"/>
          <w:szCs w:val="32"/>
        </w:rPr>
      </w:pPr>
    </w:p>
    <w:p w14:paraId="2BA56C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依法需要办理用地预审与选址意见书的建设项目，建设单位在报送有关部门批准、核准前或者建设项目备案阶段，应当向自然资源主管部门申请核发建设项目用地预审与选址意见书。</w:t>
      </w:r>
    </w:p>
    <w:p w14:paraId="502A4F65">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建设项目的选址方案涉及占用耕地和永久基本农田、生态保护红线以及可能对城乡空间布局产生重大影响的，建设单位除按照规定提交申请材料外，还应当提交规划选址合理性论证报告。</w:t>
      </w:r>
    </w:p>
    <w:p w14:paraId="1BB7FE8E">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建设项目用地预审与选址意见书的核发权限和程序，按照国家有关规定执行。</w:t>
      </w:r>
    </w:p>
    <w:p w14:paraId="4C52E3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在国土空间规划确定的城镇建设用地范围（以下简称城镇建设用地范围）内以划拨方式提供国有建设用地使用权的建设项目，建设单位应当持建设项目批准、核准、备案文件，向自然资源主管部门申请核发建设用地规划许可证。</w:t>
      </w:r>
    </w:p>
    <w:p w14:paraId="31582EFB">
      <w:pPr>
        <w:ind w:firstLine="632" w:firstLineChars="200"/>
        <w:rPr>
          <w:rFonts w:ascii="Times New Roman" w:hAnsi="Times New Roman" w:cs="仿宋_GB2312"/>
          <w:sz w:val="32"/>
          <w:szCs w:val="32"/>
        </w:rPr>
      </w:pPr>
      <w:r>
        <w:rPr>
          <w:rFonts w:hint="eastAsia" w:ascii="Times New Roman" w:hAnsi="Times New Roman" w:cs="仿宋_GB2312"/>
          <w:sz w:val="32"/>
          <w:szCs w:val="32"/>
        </w:rPr>
        <w:t>在城镇建设用地范围内使用集体所有土地的建设项目，建设单位或者个人应当持建设项目批准、核准、备案文件，以及农村集体经济组织的书面同意意见向自然资源主管部门申请核发建设用地规划许可证。</w:t>
      </w:r>
    </w:p>
    <w:p w14:paraId="3A4D1A62">
      <w:pPr>
        <w:ind w:firstLine="632" w:firstLineChars="200"/>
        <w:rPr>
          <w:rFonts w:ascii="Times New Roman" w:hAnsi="Times New Roman" w:cs="仿宋_GB2312"/>
          <w:sz w:val="32"/>
          <w:szCs w:val="32"/>
        </w:rPr>
      </w:pPr>
      <w:r>
        <w:rPr>
          <w:rFonts w:hint="eastAsia" w:ascii="Times New Roman" w:hAnsi="Times New Roman" w:cs="仿宋_GB2312"/>
          <w:sz w:val="32"/>
          <w:szCs w:val="32"/>
        </w:rPr>
        <w:t>前两款规定的建设项目，自然资源主管部门应当在用地预审与选址意见书中明确规划条件；依法不需要核发用地预审与选址意见书的建设项目的规划条件或者用地预审与选址意见书未能及时明确的规划条件，应当在建设用地规划许可证中明确。</w:t>
      </w:r>
    </w:p>
    <w:p w14:paraId="65ABA115">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本条第一款规定的城镇建设用地范围，是指城镇开发边界内的建设用地，以及城镇开发边界外国土空间规划确定的具有城镇功能的零星建设用地涉及的范围。</w:t>
      </w:r>
    </w:p>
    <w:p w14:paraId="4DDE97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在城镇建设用地范围内以出让方式提供国有建设用地使用权的，在国有建设用地使用权出让前，自然资源主管部门应当依法提出规划条件，作为国有建设用地使用权出让合同的组成部分。未确定规划条件的地块，不得出让国有建设用地使用权。</w:t>
      </w:r>
    </w:p>
    <w:p w14:paraId="186B6BAA">
      <w:pPr>
        <w:ind w:firstLine="632" w:firstLineChars="200"/>
        <w:rPr>
          <w:rFonts w:ascii="Times New Roman" w:hAnsi="Times New Roman" w:cs="仿宋_GB2312"/>
          <w:sz w:val="32"/>
          <w:szCs w:val="32"/>
        </w:rPr>
      </w:pPr>
      <w:r>
        <w:rPr>
          <w:rFonts w:hint="eastAsia" w:ascii="Times New Roman" w:hAnsi="Times New Roman" w:cs="仿宋_GB2312"/>
          <w:sz w:val="32"/>
          <w:szCs w:val="32"/>
        </w:rPr>
        <w:t>以出让方式取得国有建设用地使用权的建设项目，建设单位或者个人在取得建设项目批准、核准、备案文件和签订国有建设用地使用权出让合同后，向自然资源主管部门领取建设用地规划许可证。</w:t>
      </w:r>
    </w:p>
    <w:p w14:paraId="3669E0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房屋建筑工程建设用地的规划条件一般包括：建设用地的位置和面积、使用性质、建筑密度、容积率、绿地率，建筑退让、建筑高度、建筑风貌、主要交通出入口，停车位配建，地下空间开发利用，配套建设的基础设施和公共服务设施等要求。</w:t>
      </w:r>
    </w:p>
    <w:p w14:paraId="1817FBEA">
      <w:pPr>
        <w:ind w:firstLine="632" w:firstLineChars="200"/>
        <w:rPr>
          <w:rFonts w:ascii="Times New Roman" w:hAnsi="Times New Roman" w:cs="仿宋_GB2312"/>
          <w:sz w:val="32"/>
          <w:szCs w:val="32"/>
        </w:rPr>
      </w:pPr>
      <w:r>
        <w:rPr>
          <w:rFonts w:hint="eastAsia" w:ascii="Times New Roman" w:hAnsi="Times New Roman" w:cs="仿宋_GB2312"/>
          <w:sz w:val="32"/>
          <w:szCs w:val="32"/>
        </w:rPr>
        <w:t>道路、管网等市政线性工程建设用地的规划条件一般包括建设用地的位置和面积、使用性质、长度、宽度、地下空间开发利用等要求。</w:t>
      </w:r>
    </w:p>
    <w:p w14:paraId="72AADBE3">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或者个人应当按照核定的规划条件编制建设工程设计方案。确需变更规划条件的，应当经自然资源主管部门依法批准；但是，以出让方式提供国有建设用地使用权的住宅、商业、商务类建设项目，不得改变规划条件确定的用地性质，不得提高规划条件确定的容积率、建筑高度、建筑密度，不得降低规划条件确定的绿地率或者减少规划条件确定的基础设施、公共服务配套。</w:t>
      </w:r>
    </w:p>
    <w:p w14:paraId="247D74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以出让方式提供国有建设用地使用权的，自然资源主管部门在核定项目规划条件时，应当通过国土空间治理数字化平台汇集教育、民政、生态环境、住房城乡建设、文化广电旅游、人民防空等部门依法提出的建设要求。建设项目的规划条件和建设要求应当纳入出让地块的出让方案，报经设区的市、县（市）人民政府批准后按照规定予以公布。</w:t>
      </w:r>
    </w:p>
    <w:p w14:paraId="11088B56">
      <w:pPr>
        <w:ind w:firstLine="632" w:firstLineChars="200"/>
        <w:rPr>
          <w:rFonts w:ascii="Times New Roman" w:hAnsi="Times New Roman" w:cs="仿宋_GB2312"/>
          <w:sz w:val="32"/>
          <w:szCs w:val="32"/>
        </w:rPr>
      </w:pPr>
      <w:r>
        <w:rPr>
          <w:rFonts w:hint="eastAsia" w:ascii="Times New Roman" w:hAnsi="Times New Roman" w:cs="仿宋_GB2312"/>
          <w:sz w:val="32"/>
          <w:szCs w:val="32"/>
        </w:rPr>
        <w:t>规划条件和建设要求由自然资源、住房城乡建设、人民防空等相关主管部门按照各自职责监督实施。相关主管部门应当通过全过程数字化管理，加强工程建设关键环节和重要节点的指导服务。</w:t>
      </w:r>
    </w:p>
    <w:p w14:paraId="69BC47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已纳入城镇低效用地再开发范围的国有建设用地同时符合下列条件的，土地使用权人可以向设区的市、县（市）自然资源主管部门申请变更土地开发强度或者变更用地性质，但不得申请将其他性质的建设用地变更为经营性房地产用地：</w:t>
      </w:r>
    </w:p>
    <w:p w14:paraId="03518547">
      <w:pPr>
        <w:ind w:firstLine="632" w:firstLineChars="200"/>
        <w:rPr>
          <w:rFonts w:ascii="Times New Roman" w:hAnsi="Times New Roman" w:cs="仿宋_GB2312"/>
          <w:sz w:val="32"/>
          <w:szCs w:val="32"/>
        </w:rPr>
      </w:pPr>
      <w:r>
        <w:rPr>
          <w:rFonts w:hint="eastAsia" w:ascii="Times New Roman" w:hAnsi="Times New Roman" w:cs="仿宋_GB2312"/>
          <w:sz w:val="32"/>
          <w:szCs w:val="32"/>
        </w:rPr>
        <w:t>（一）该幅土地未纳入近三年内的土地收储计划；</w:t>
      </w:r>
    </w:p>
    <w:p w14:paraId="7881131D">
      <w:pPr>
        <w:ind w:firstLine="632" w:firstLineChars="200"/>
        <w:rPr>
          <w:rFonts w:ascii="Times New Roman" w:hAnsi="Times New Roman" w:cs="仿宋_GB2312"/>
          <w:sz w:val="32"/>
          <w:szCs w:val="32"/>
        </w:rPr>
      </w:pPr>
      <w:r>
        <w:rPr>
          <w:rFonts w:hint="eastAsia" w:ascii="Times New Roman" w:hAnsi="Times New Roman" w:cs="仿宋_GB2312"/>
          <w:sz w:val="32"/>
          <w:szCs w:val="32"/>
        </w:rPr>
        <w:t>（二）变更用地性质范围与不动产权证登记范围一致；</w:t>
      </w:r>
    </w:p>
    <w:p w14:paraId="1CD473F2">
      <w:pPr>
        <w:ind w:firstLine="632" w:firstLineChars="200"/>
        <w:rPr>
          <w:rFonts w:ascii="Times New Roman" w:hAnsi="Times New Roman" w:cs="仿宋_GB2312"/>
          <w:sz w:val="32"/>
          <w:szCs w:val="32"/>
        </w:rPr>
      </w:pPr>
      <w:r>
        <w:rPr>
          <w:rFonts w:hint="eastAsia" w:ascii="Times New Roman" w:hAnsi="Times New Roman" w:cs="仿宋_GB2312"/>
          <w:sz w:val="32"/>
          <w:szCs w:val="32"/>
        </w:rPr>
        <w:t>（三）变更要求符合该地块国土空间详细规划；</w:t>
      </w:r>
    </w:p>
    <w:p w14:paraId="68DAAA91">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（四）法律、法规规定的其他条件。</w:t>
      </w:r>
    </w:p>
    <w:p w14:paraId="31579113">
      <w:pPr>
        <w:ind w:firstLine="632" w:firstLineChars="200"/>
        <w:rPr>
          <w:rFonts w:ascii="Times New Roman" w:hAnsi="Times New Roman" w:cs="仿宋_GB2312"/>
          <w:sz w:val="32"/>
          <w:szCs w:val="32"/>
        </w:rPr>
      </w:pPr>
      <w:r>
        <w:rPr>
          <w:rFonts w:hint="eastAsia" w:ascii="Times New Roman" w:hAnsi="Times New Roman" w:cs="仿宋_GB2312"/>
          <w:sz w:val="32"/>
          <w:szCs w:val="32"/>
        </w:rPr>
        <w:t>土地使用权人依照前款规定提出变更申请的，应当提交不动产权属证明、原规划批准文件等材料。建设项目按照规定需要批准、核准或者备案的，还应当提交批准、核准或者备案文件。</w:t>
      </w:r>
    </w:p>
    <w:p w14:paraId="78B17BB0">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市）自然资源主管部门应当根据该地块详细规划和土地使用权人的变更要求，重新核定规划条件，在征求相关主管部门的建设要求后，编制变更方案报本级人民政府批准，并将重新核定的规划条件纳入国有建设用地使用权出让合同变更协议。</w:t>
      </w:r>
    </w:p>
    <w:p w14:paraId="51014C31">
      <w:pPr>
        <w:ind w:firstLine="632" w:firstLineChars="200"/>
        <w:rPr>
          <w:rFonts w:ascii="Times New Roman" w:hAnsi="Times New Roman" w:cs="仿宋_GB2312"/>
          <w:sz w:val="32"/>
          <w:szCs w:val="32"/>
        </w:rPr>
      </w:pPr>
      <w:r>
        <w:rPr>
          <w:rFonts w:hint="eastAsia" w:ascii="Times New Roman" w:hAnsi="Times New Roman" w:cs="仿宋_GB2312"/>
          <w:sz w:val="32"/>
          <w:szCs w:val="32"/>
        </w:rPr>
        <w:t>土地使用权人应当根据核定的规划条件，重新取得规划许可，并依法补缴土地使用权出让金。</w:t>
      </w:r>
    </w:p>
    <w:p w14:paraId="0752FEBE">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本条第一款规定的城镇低效用地的认定办法，由设区的市人民政府制定。</w:t>
      </w:r>
    </w:p>
    <w:p w14:paraId="01BD93A9">
      <w:pPr>
        <w:rPr>
          <w:rFonts w:ascii="Times New Roman" w:hAnsi="Times New Roman" w:eastAsia="宋体" w:cs="宋体"/>
          <w:szCs w:val="32"/>
        </w:rPr>
      </w:pPr>
    </w:p>
    <w:p w14:paraId="672F2D4B">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建设工程规划管理</w:t>
      </w:r>
    </w:p>
    <w:p w14:paraId="001E9CD2">
      <w:pPr>
        <w:rPr>
          <w:rFonts w:ascii="Times New Roman" w:hAnsi="Times New Roman" w:eastAsia="宋体" w:cs="宋体"/>
          <w:szCs w:val="32"/>
        </w:rPr>
      </w:pPr>
    </w:p>
    <w:p w14:paraId="17A3D0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在城镇建设用地范围内进行建筑物、构筑物、道路、管线以及其他工程建设的，建设单位或者个人应当依法向设区的市、县（市）自然资源主管部门申请核发建设工程规划许可证。</w:t>
      </w:r>
    </w:p>
    <w:p w14:paraId="4390D8A9">
      <w:pPr>
        <w:ind w:firstLine="632" w:firstLineChars="200"/>
        <w:rPr>
          <w:rFonts w:ascii="Times New Roman" w:hAnsi="Times New Roman" w:cs="仿宋_GB2312"/>
          <w:sz w:val="32"/>
          <w:szCs w:val="32"/>
        </w:rPr>
      </w:pPr>
      <w:r>
        <w:rPr>
          <w:rFonts w:hint="eastAsia" w:ascii="Times New Roman" w:hAnsi="Times New Roman" w:cs="仿宋_GB2312"/>
          <w:sz w:val="32"/>
          <w:szCs w:val="32"/>
        </w:rPr>
        <w:t>有相关主管部门实施管理、有统一建设标准和规范要求、不影响安全管理要求且不影响国土空间规划实施的老旧小区微改造、城市公共空间服务功能提升微更新等工程建设，不需要申请建设工程规划许可证。具体办法由设区的市人民政府制定。</w:t>
      </w:r>
    </w:p>
    <w:p w14:paraId="42FE14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申请核发建设工程规划许可证，应当提交使用土地的有关证明文件、建设工程设计方案等材料。</w:t>
      </w:r>
    </w:p>
    <w:p w14:paraId="7AC11AD9">
      <w:pPr>
        <w:ind w:firstLine="632" w:firstLineChars="200"/>
        <w:rPr>
          <w:rFonts w:ascii="Times New Roman" w:hAnsi="Times New Roman" w:cs="仿宋_GB2312"/>
          <w:sz w:val="32"/>
          <w:szCs w:val="32"/>
        </w:rPr>
      </w:pPr>
      <w:r>
        <w:rPr>
          <w:rFonts w:hint="eastAsia" w:ascii="Times New Roman" w:hAnsi="Times New Roman" w:cs="仿宋_GB2312"/>
          <w:sz w:val="32"/>
          <w:szCs w:val="32"/>
        </w:rPr>
        <w:t>对符合国土空间详细规划和规划条件的，由设区的市、县（市）自然资源主管部门核发建设工程规划许可证，明确建设工程的占地位置、建筑面积和高度、建筑风貌等管控要求，并将经审定的建设工程设计方案总平面图予以公布。对于出让方案明确的与工程建设直接相关的有关建设要求，自然资源主管部门在审查建设工程设计方案时应当征求相关主管部门意见。</w:t>
      </w:r>
    </w:p>
    <w:p w14:paraId="6636F6D7">
      <w:pPr>
        <w:ind w:firstLine="632" w:firstLineChars="200"/>
        <w:rPr>
          <w:rFonts w:ascii="Times New Roman" w:hAnsi="Times New Roman" w:cs="仿宋_GB2312"/>
          <w:sz w:val="32"/>
          <w:szCs w:val="32"/>
        </w:rPr>
      </w:pPr>
      <w:r>
        <w:rPr>
          <w:rFonts w:hint="eastAsia" w:ascii="Times New Roman" w:hAnsi="Times New Roman" w:cs="仿宋_GB2312"/>
          <w:sz w:val="32"/>
          <w:szCs w:val="32"/>
        </w:rPr>
        <w:t>因应急处置突发事件，建设单位可以先行组织实施应急抢险工程，同时向设区的市、县（市）自然资源主管部门书面报告，并在其确定的期限内补办手续。</w:t>
      </w:r>
    </w:p>
    <w:p w14:paraId="500593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设区的市、县（市）自然资源主管部门应当根据建设项目类型、规模、投资类别等，依法精简审批环节，优化审批流程，分类实行建设工程规划许可。</w:t>
      </w:r>
    </w:p>
    <w:p w14:paraId="3DD2282C">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项目符合国土空间规划要求，土地权属清晰且不涉及规划调整、不影响周边利害关系人合法权益的，可以实行建设工程规划许可告知承诺制。经建设单位或者个人申请并按照要求书面承诺达到建设工程规划许可条件的，可以先行核发建设工程规划许可证。</w:t>
      </w:r>
    </w:p>
    <w:p w14:paraId="5BAAF844">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设区的市、县（市）自然资源主管部门应当公布实行告知承诺制的审批事项清单和具体要求，并对履行承诺情况进行监督检查。</w:t>
      </w:r>
    </w:p>
    <w:p w14:paraId="4C2B9F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在国土空间规划确定的村庄建设用地范围（以下简称村庄建设用地范围）内使用集体所有土地进行乡镇企业、乡村公共设施、公益事业建设的，建设单位或者个人应当持农村集体经济组织的书面同意意见、使用土地的有关证明文件向设区的市、县（市）自然资源主管部门申请核发乡村建设规划许可证。</w:t>
      </w:r>
    </w:p>
    <w:p w14:paraId="07685BC9">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设区的市、县（市）自然资源主管部门应当自受理申请之日起五个工作日内，核定建设用地位置、允许建设的范围、基础标高、建筑高度等规划要求。</w:t>
      </w:r>
    </w:p>
    <w:p w14:paraId="283A96FA">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或者个人应当按照规划要求，向设区的市、县（市）自然资源主管部门提交建设工程设计方案。建设工程设计方案符合规划要求的，设区的市、县（市）自然资源主管部门应当自收到建设工程设计方案之日起十五个工作日内，依法核发乡村建设规划许可证。</w:t>
      </w:r>
    </w:p>
    <w:p w14:paraId="585020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在村庄建设用地范围内使用集体所有土地进行农村村民住宅建设的，农村村民应当持农村集体经济组织的书面同意意见、使用土地的有关证明文件、住宅设计图件向乡镇人民政府、街道办事处提出乡村建设规划许可申请。乡镇人民政府、街道办事处应当自受理申请之日起五个工作日内，报设区的市、县（市）自然资源主管部门。</w:t>
      </w:r>
    </w:p>
    <w:p w14:paraId="0E2C13E6">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设区的市、县（市）自然资源主管部门应当自收到申请之日起十五个工作日内核发乡村建设规划许可证，并在乡村建设规划许可证中明确建设用地位置、允许建设的范围、基础标高、建筑高度等规划要求。</w:t>
      </w:r>
    </w:p>
    <w:p w14:paraId="612F861D">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设区的市、县（市）自然资源主管部门可以委托乡镇人民政府、街道办事处核发乡村建设规划许可证。</w:t>
      </w:r>
    </w:p>
    <w:p w14:paraId="677BA7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在村庄建设用地范围内使用国有建设用地进行工程建设的，自然资源主管部门应当按照城镇建设用地范围内的工程建设项目作出规划许可。</w:t>
      </w:r>
    </w:p>
    <w:p w14:paraId="0CB227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建设工程设计方案应当符合规划条件、规划要求、相关技术标准和规范。</w:t>
      </w:r>
    </w:p>
    <w:p w14:paraId="209FA6A7">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建设工程设计方案应当载明分类建筑用途；其中，用于销售的住宅、商业、商务类建设项目应当明确公共场地、公用设施和物业管理用房的位置、面积。</w:t>
      </w:r>
    </w:p>
    <w:p w14:paraId="5E0BF6D2">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施工图应当落实建设工程设计方案，并与其标明的技术经济指标和平面布局、功能布局等相一致。施工图审查机构应当对建筑施工图落实建设工程设计方案及其标明的技术经济指标和平面布局、功能布局等情况实施审查。自然资源主管部门应当通过工程图纸数字化管理系统共享图纸的方式，对施工图审查机构审查施工图落实建设工程设计方案及其标明的技术经济指标和平面布局、功能布局等情况实施监督。</w:t>
      </w:r>
    </w:p>
    <w:p w14:paraId="326065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建设项目需要分期建设的，建设单位应当在建设工程设计方案中明确分期建设计划、分期建设用地范围、建设规模和配套设施等内容，并向设区的市、县（市）自然资源主管部门分期申请核发建设工程规划许可证。</w:t>
      </w:r>
    </w:p>
    <w:p w14:paraId="48A91639">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建设项目分期建设符合规定要求的，由设区的市、县（市）自然资源主管部门分期核发建设工程规划许可证。</w:t>
      </w:r>
    </w:p>
    <w:p w14:paraId="592C782E">
      <w:pPr>
        <w:ind w:firstLine="632" w:firstLineChars="200"/>
        <w:rPr>
          <w:rFonts w:ascii="Times New Roman" w:hAnsi="Times New Roman" w:cs="仿宋_GB2312"/>
          <w:sz w:val="32"/>
          <w:szCs w:val="32"/>
        </w:rPr>
      </w:pPr>
      <w:r>
        <w:rPr>
          <w:rFonts w:hint="eastAsia" w:ascii="Times New Roman" w:hAnsi="Times New Roman" w:cs="仿宋_GB2312"/>
          <w:sz w:val="32"/>
          <w:szCs w:val="32"/>
        </w:rPr>
        <w:t>分期建设应当优先安排基础设施和公共服务设施建设，实施年限不得超过国有建设用地使用权出让合同或者划拨决定书确定的竣工期限。</w:t>
      </w:r>
    </w:p>
    <w:p w14:paraId="1A73DB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建设单位或者个人应当按照建设工程规划许可证或者乡村建设规划许可证的许可内容进行建设。确需变更许可内容的，应当经原许可机关批准。申请变更的内容不符合规划条件的，不得批准。</w:t>
      </w:r>
    </w:p>
    <w:p w14:paraId="54FDC7D0">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建设单位或者个人应当在建设项目开工前组织实施建设工程坐标放线。自然资源主管部门应当加强建设工程验线管理和指导服务。</w:t>
      </w:r>
    </w:p>
    <w:p w14:paraId="61017B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建设单位或者个人取得建设工程规划许可证、乡村建设规划许可证一年内未取得施工许可证，或者依法不需要取得施工许可证但一年内未开工建设的，可以在期限届满前三十日内向原许可机关申请办理延期手续；申请延续的次数不得超过两次，每次延续期限不得超过一年；逾期未申请延续或者延续申请未获批准的，相应的建设工程规划许可证、乡村建设规划许可证失效。</w:t>
      </w:r>
    </w:p>
    <w:p w14:paraId="6C853E3C">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建设项目批准、核准文件被依法撤销、撤回、吊销，或者土地使用权被依法收回的，许可机关核发的相应规划许可证失效。</w:t>
      </w:r>
    </w:p>
    <w:p w14:paraId="11ED254B">
      <w:pPr>
        <w:ind w:firstLine="632" w:firstLineChars="200"/>
        <w:rPr>
          <w:rFonts w:ascii="Times New Roman" w:hAnsi="Times New Roman" w:cs="仿宋_GB2312"/>
          <w:sz w:val="32"/>
          <w:szCs w:val="32"/>
        </w:rPr>
      </w:pPr>
      <w:r>
        <w:rPr>
          <w:rFonts w:hint="eastAsia" w:ascii="Times New Roman" w:hAnsi="Times New Roman" w:cs="仿宋_GB2312"/>
          <w:sz w:val="32"/>
          <w:szCs w:val="32"/>
        </w:rPr>
        <w:t>规划许可证失效的，许可机关应当注销相应的规划许可证。</w:t>
      </w:r>
    </w:p>
    <w:p w14:paraId="077566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土地使用权人在城镇建设用地范围内进行临时建设的，应当取得设区的市、县（市）自然资源主管部门核发的临时建设工程规划许可证，但建设项目用地范围内因施工需要进行的临时建设除外。</w:t>
      </w:r>
    </w:p>
    <w:p w14:paraId="32CECF58">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临时建设影响国土空间规划实施或者不符合交通、市容、安全等要求的，设区的市、县（市）自然资源主管部门不得批准。</w:t>
      </w:r>
    </w:p>
    <w:p w14:paraId="248E7CF4">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建设工程规划许可证的有效期不得超过两年。有效期届满确需延续的，可以在有效期届满前三十日内向原核发机关申请办理延续手续，每次延续期限不得超过一年，延续次数不得超过两次。临时建筑应当在临时建设工程规划许可证的有效期届满前自行拆除。</w:t>
      </w:r>
    </w:p>
    <w:p w14:paraId="22EEF290">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临时建筑不得改变临时建设工程规划许可证确定的用途。</w:t>
      </w:r>
    </w:p>
    <w:p w14:paraId="1BAAFE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在城镇建设用地范围内因建设项目施工或者地质勘查需要临时使用土地进行临时建设的，自然资源主管部门在开展临时用地审批时，应当根据需要明确临时用地用途、期限以及允许建设的范围、建筑高度、建筑用途等临时建设要求，不再核发临时建设工程规划许可证。</w:t>
      </w:r>
    </w:p>
    <w:p w14:paraId="5C714F15">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临时使用土地的期限按照国家有关规定执行。</w:t>
      </w:r>
    </w:p>
    <w:p w14:paraId="240D14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建设单位或者个人应当在建设工程竣工后，向设区的市、县（市）自然资源主管部门申请建设工程竣工规划核实。</w:t>
      </w:r>
    </w:p>
    <w:p w14:paraId="5FDC05CB">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市）自然资源主管部门应当通过图件核验、现场勘查等方式进行核实。符合规划许可内容的，应当自受理申请之日起十五个工作日内，出具建设工程规划核实确认书；不符合规划许可内容不予出具建设工程规划核实确认书的，应当自受理申请之日起十五个工作日内书面告知理由。</w:t>
      </w:r>
    </w:p>
    <w:p w14:paraId="2F345F68">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设区的市、县（市）自然资源主管部门依照本条例委托乡镇人民政府、街道办事处核发乡村建设规划许可证的，可以一并委托其办理建设工程竣工规划核实事项。</w:t>
      </w:r>
    </w:p>
    <w:p w14:paraId="6E8DBB26">
      <w:pPr>
        <w:ind w:firstLine="632" w:firstLineChars="200"/>
        <w:rPr>
          <w:rFonts w:ascii="Times New Roman" w:hAnsi="Times New Roman" w:cs="仿宋_GB2312"/>
          <w:sz w:val="32"/>
          <w:szCs w:val="32"/>
        </w:rPr>
      </w:pPr>
      <w:r>
        <w:rPr>
          <w:rFonts w:hint="eastAsia" w:ascii="Times New Roman" w:hAnsi="Times New Roman" w:cs="仿宋_GB2312"/>
          <w:sz w:val="32"/>
          <w:szCs w:val="32"/>
        </w:rPr>
        <w:t>未取得建设工程规划核实确认书的，建设单位或者个人不得组织竣工验收。</w:t>
      </w:r>
    </w:p>
    <w:p w14:paraId="5F8F2703">
      <w:pPr>
        <w:ind w:firstLine="632" w:firstLineChars="200"/>
        <w:rPr>
          <w:rFonts w:ascii="Times New Roman" w:hAnsi="Times New Roman" w:cs="仿宋_GB2312"/>
          <w:sz w:val="32"/>
          <w:szCs w:val="32"/>
        </w:rPr>
      </w:pPr>
      <w:r>
        <w:rPr>
          <w:rFonts w:hint="eastAsia" w:ascii="Times New Roman" w:hAnsi="Times New Roman" w:cs="仿宋_GB2312"/>
          <w:sz w:val="32"/>
          <w:szCs w:val="32"/>
        </w:rPr>
        <w:t>对规划许可确定应当予以拆除的建筑物、构筑物和相关临时设施，建设单位或者个人应当在申请建设工程竣工规划核实前自行拆除。</w:t>
      </w:r>
    </w:p>
    <w:p w14:paraId="38B75D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房屋所有权人、房屋使用权人应当按照建设工程规划许可证确定的用途使用房屋。确需临时改变房屋用途的，应当依法经设区的市、县（市）自然资源主管部门批准，并按照规定缴纳土地收益金。</w:t>
      </w:r>
    </w:p>
    <w:p w14:paraId="705CEAF4">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临时改变房屋用途不得影响国土空间规划实施，不得违反国家有关消防、通风、采光、日照、隔声等强制性标准，并依法办理房屋结构安全、消防安全、环境保护等相关审批、备案手续。</w:t>
      </w:r>
    </w:p>
    <w:p w14:paraId="64943404">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申请临时改变房屋用途的，应当征求相关利害关系人的意见；其中，将住宅改为经营性用房的，应当经有利害关系的业主一致同意。</w:t>
      </w:r>
    </w:p>
    <w:p w14:paraId="0F866BB3">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临时改变房屋用途首次申请的期限不超过五年。期限届满确需延续的，可以在期限届满前六十日内向原许可机关申请办理延续手续，每次延续期限不得超过两年。</w:t>
      </w:r>
    </w:p>
    <w:p w14:paraId="522527AC">
      <w:pPr>
        <w:rPr>
          <w:rFonts w:ascii="Times New Roman" w:hAnsi="Times New Roman" w:eastAsia="宋体" w:cs="宋体"/>
          <w:szCs w:val="32"/>
        </w:rPr>
      </w:pPr>
    </w:p>
    <w:p w14:paraId="3524A9E7">
      <w:pPr>
        <w:jc w:val="center"/>
        <w:rPr>
          <w:rFonts w:ascii="Times New Roman" w:hAnsi="Times New Roman" w:eastAsia="黑体" w:cs="黑体"/>
          <w:szCs w:val="32"/>
        </w:rPr>
      </w:pPr>
      <w:r>
        <w:rPr>
          <w:rFonts w:hint="eastAsia" w:ascii="Times New Roman" w:hAnsi="Times New Roman" w:eastAsia="黑体" w:cs="黑体"/>
          <w:szCs w:val="32"/>
        </w:rPr>
        <w:t>第五章　监督管理</w:t>
      </w:r>
    </w:p>
    <w:p w14:paraId="438FAAC0">
      <w:pPr>
        <w:rPr>
          <w:rFonts w:ascii="Times New Roman" w:hAnsi="Times New Roman" w:eastAsia="宋体" w:cs="宋体"/>
          <w:szCs w:val="32"/>
        </w:rPr>
      </w:pPr>
    </w:p>
    <w:p w14:paraId="284C07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县级以上人民政府应当建立国土空间规划监督检查制度，组织对国土空间规划制定、修改和实施等工作进行监督检查。</w:t>
      </w:r>
    </w:p>
    <w:p w14:paraId="18E9DA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各级人民政府应当每年开展国土空间规划实施情况评估，每五年组织阶段性评估。</w:t>
      </w:r>
    </w:p>
    <w:p w14:paraId="63E13173">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设区的市、县（市）自然资源主管部门按照国家和省的规定组织定期评估工作，并逐级报省自然资源主管部门备案。</w:t>
      </w:r>
    </w:p>
    <w:p w14:paraId="6EDBA0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自然资源主管部门应当加强对国土空间规划执行情况的监督检查，依托国土空间治理数字化平台开展长期动态监测和评估预警，对违反国土空间规划确定的强制性内容、约束性指标的情况以及实施进度风险及时预警。</w:t>
      </w:r>
    </w:p>
    <w:p w14:paraId="0D5BBEBC">
      <w:pPr>
        <w:ind w:firstLine="632" w:firstLineChars="200"/>
        <w:rPr>
          <w:rFonts w:ascii="Times New Roman" w:hAnsi="Times New Roman" w:cs="仿宋_GB2312"/>
          <w:sz w:val="32"/>
          <w:szCs w:val="32"/>
        </w:rPr>
      </w:pPr>
      <w:r>
        <w:rPr>
          <w:rFonts w:hint="eastAsia" w:ascii="Times New Roman" w:hAnsi="Times New Roman" w:cs="仿宋_GB2312"/>
          <w:sz w:val="32"/>
          <w:szCs w:val="32"/>
        </w:rPr>
        <w:t>国土空间规划执行情况纳入自然资源执法督察内容。</w:t>
      </w:r>
    </w:p>
    <w:p w14:paraId="5D80D2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任何单位和个人有权依法查询已经公开发布的国土空间规划，举报违反国土空间规划的行为。</w:t>
      </w:r>
    </w:p>
    <w:p w14:paraId="794B3AF4">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自然资源主管部门以及其他有关部门，应当及时受理举报，组织核查、处理，并将处理结果告知举报人。</w:t>
      </w:r>
    </w:p>
    <w:p w14:paraId="40A81A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自然资源、公共数据主管部门应当会同有关部门完善国土空间治理数字化平台的数据目录、数据格式、更新频率、共享方式等规则，根据国土空间规划一张图原则，依托一体化智能化公共数据平台汇集相关部门的经济社会、自然资源、生态环境、历史文化等国土空间数据，实现政府部门间数据共享以及政府与社会之间的信息交互，协同提升国土空间治理效能。</w:t>
      </w:r>
    </w:p>
    <w:p w14:paraId="30508B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收集、交换、使用和保管国土空间数据应当依法采取安全处理措施，并执行保密规定，不得泄露国土空间数据，不得将国土空间数据用于履行法定职责之外的用途。</w:t>
      </w:r>
    </w:p>
    <w:p w14:paraId="7941AD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县级以上人民代表大会常务委员会、乡镇人民代表大会应当加强对国土空间规划实施情况的监督，定期听取本级人民政府有关国土空间规划实施情况的专项报告。</w:t>
      </w:r>
    </w:p>
    <w:p w14:paraId="6F96FC04">
      <w:pPr>
        <w:rPr>
          <w:rFonts w:ascii="Times New Roman" w:hAnsi="Times New Roman" w:eastAsia="宋体" w:cs="宋体"/>
          <w:szCs w:val="32"/>
        </w:rPr>
      </w:pPr>
    </w:p>
    <w:p w14:paraId="3A0A9689">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5DA1EA83">
      <w:pPr>
        <w:rPr>
          <w:rFonts w:ascii="Times New Roman" w:hAnsi="Times New Roman" w:eastAsia="宋体" w:cs="宋体"/>
          <w:szCs w:val="32"/>
        </w:rPr>
      </w:pPr>
    </w:p>
    <w:p w14:paraId="65B563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违反本条例规定的行为，法律、行政法规已有法律责任规定的，从其规定。</w:t>
      </w:r>
    </w:p>
    <w:p w14:paraId="3CFE8A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各级人民政府及有关部门有下列情形之一的，由有权机关责令改正，对负有责任的领导人员和直接责任人员依法给予处分：</w:t>
      </w:r>
    </w:p>
    <w:p w14:paraId="62196F9C">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（一）依法应当编制国土空间规划而未组织编制，或者未按照法定程序编制、审批、修改国土空间规划；</w:t>
      </w:r>
    </w:p>
    <w:p w14:paraId="356060DA">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（二）违反规定核发用地预审与选址意见书、建设用地规划许可证、建设工程规划许可证、乡村建设规划许可证、临时建设工程规划许可证；</w:t>
      </w:r>
    </w:p>
    <w:p w14:paraId="3537F2D2">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（三）违反规定批准变更规划条件或者规划许可内容；</w:t>
      </w:r>
    </w:p>
    <w:p w14:paraId="1C91AF2F">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（四）对未依法取得规划许可或者违反规划许可的规定进行建设的行为，不予查处或者受理举报后不依法处理；</w:t>
      </w:r>
    </w:p>
    <w:p w14:paraId="2829F60E">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（五）违反规定批准改变房屋用途；</w:t>
      </w:r>
    </w:p>
    <w:p w14:paraId="51BE3694">
      <w:pPr>
        <w:ind w:firstLine="632" w:firstLineChars="200"/>
        <w:rPr>
          <w:rFonts w:ascii="Times New Roman" w:hAnsi="Times New Roman" w:cs="仿宋_GB2312"/>
          <w:sz w:val="32"/>
          <w:szCs w:val="32"/>
        </w:rPr>
      </w:pPr>
      <w:r>
        <w:rPr>
          <w:rFonts w:hint="eastAsia" w:ascii="Times New Roman" w:hAnsi="Times New Roman" w:cs="仿宋_GB2312"/>
          <w:sz w:val="32"/>
          <w:szCs w:val="32"/>
        </w:rPr>
        <w:t>（六）玩忽职守、滥用职权、徇私舞弊的其他行为。</w:t>
      </w:r>
    </w:p>
    <w:p w14:paraId="293AB8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设计单位的建筑施工图与建设工程设计方案及其标明的技术经济指标和平面布局、功能布局等不一致的，由设区的市、县（市、区）住房城乡建设主管部门责令改正，给予警告，可以并处五万元以上三十万元以下的罚款，记入信用档案；情节严重的，原发证机关还应当降低其资质等级或者吊销其资质证书。</w:t>
      </w:r>
    </w:p>
    <w:p w14:paraId="53028BBA">
      <w:pPr>
        <w:ind w:firstLine="632" w:firstLineChars="200"/>
        <w:rPr>
          <w:rFonts w:ascii="Times New Roman" w:hAnsi="Times New Roman" w:cs="仿宋_GB2312"/>
          <w:sz w:val="32"/>
          <w:szCs w:val="32"/>
        </w:rPr>
      </w:pPr>
      <w:r>
        <w:rPr>
          <w:rFonts w:hint="eastAsia" w:ascii="Times New Roman" w:hAnsi="Times New Roman" w:cs="仿宋_GB2312"/>
          <w:sz w:val="32"/>
          <w:szCs w:val="32"/>
        </w:rPr>
        <w:t>施工图审查机构对建筑施工图与建设工程设计方案及其标明的技术经济指标和平面布局、功能布局等不一致情况未作出审查的，由设区的市、县（市、区）住房城乡建设主管部门责令改正，给予警告，可以并处五万元以上三十万元以下的罚款，记入信用档案；情节严重的，省住房城乡建设主管部门还应当将其从审查机构名录中除名。</w:t>
      </w:r>
    </w:p>
    <w:p w14:paraId="5736C6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第七十四条</w:t>
      </w:r>
      <w:r>
        <w:rPr>
          <w:rFonts w:hint="eastAsia" w:ascii="Times New Roman" w:hAnsi="Times New Roman" w:cs="仿宋_GB2312"/>
          <w:sz w:val="32"/>
          <w:szCs w:val="32"/>
        </w:rPr>
        <w:t>　未取得建设工程规划许可证或者未按照建设工程规划许可证的规定进行建设的，由设区的市、县（市、区）自然资源主管部门责令停止建设；尚可采取改正措施消除对规划实施的影响的，限期改正，处建设工程造价百分之五以上百分之十以下的罚款；无法采取改正措施消除影响的，限期拆除，不能拆除的，没收实物或者违法收入，并处建设工程造价百分之五以上百分之十以下的罚款。</w:t>
      </w:r>
    </w:p>
    <w:p w14:paraId="60774720">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建设工程有下列违法情形之一的，应当认定为前款规定的无法采取改正措施消除影响的情形：</w:t>
      </w:r>
    </w:p>
    <w:p w14:paraId="7C3DE802">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（一）不符合国土空间详细规划确定的强制性内容；</w:t>
      </w:r>
    </w:p>
    <w:p w14:paraId="7D01C550">
      <w:pPr>
        <w:ind w:firstLine="632" w:firstLineChars="200"/>
        <w:rPr>
          <w:rFonts w:ascii="Times New Roman" w:hAnsi="Times New Roman" w:cs="仿宋_GB2312"/>
          <w:sz w:val="32"/>
          <w:szCs w:val="32"/>
        </w:rPr>
      </w:pPr>
      <w:r>
        <w:rPr>
          <w:rFonts w:hint="eastAsia" w:ascii="Times New Roman" w:hAnsi="Times New Roman" w:cs="仿宋_GB2312"/>
          <w:sz w:val="32"/>
          <w:szCs w:val="32"/>
        </w:rPr>
        <w:t>（二）侵占城镇道路、消防通道、广场、公共绿地等公共场地、公共设施用地；</w:t>
      </w:r>
    </w:p>
    <w:p w14:paraId="7C774628">
      <w:pPr>
        <w:ind w:firstLine="632" w:firstLineChars="200"/>
        <w:rPr>
          <w:rFonts w:ascii="Times New Roman" w:hAnsi="Times New Roman" w:cs="仿宋_GB2312"/>
          <w:sz w:val="32"/>
          <w:szCs w:val="32"/>
        </w:rPr>
      </w:pPr>
      <w:r>
        <w:rPr>
          <w:rFonts w:hint="eastAsia" w:ascii="Times New Roman" w:hAnsi="Times New Roman" w:cs="仿宋_GB2312"/>
          <w:sz w:val="32"/>
          <w:szCs w:val="32"/>
        </w:rPr>
        <w:t>（三）存在建筑安全隐患、影响相邻建筑安全，或者导致相邻建筑无法满足国家有关消防、通风、采光、日照、隔声等强制性标准；</w:t>
      </w:r>
    </w:p>
    <w:p w14:paraId="7A9D606E">
      <w:pPr>
        <w:ind w:firstLine="632" w:firstLineChars="200"/>
        <w:rPr>
          <w:rFonts w:ascii="Times New Roman" w:hAnsi="Times New Roman" w:cs="仿宋_GB2312"/>
          <w:sz w:val="32"/>
          <w:szCs w:val="32"/>
        </w:rPr>
      </w:pPr>
      <w:r>
        <w:rPr>
          <w:rFonts w:hint="eastAsia" w:ascii="Times New Roman" w:hAnsi="Times New Roman" w:cs="仿宋_GB2312"/>
          <w:sz w:val="32"/>
          <w:szCs w:val="32"/>
        </w:rPr>
        <w:t>（四）住宅、商业、商务类建设工程超过建设工程规划许可证确定的建筑面积（计算容积率部分）或者建筑高度，且超出合理误差范围；</w:t>
      </w:r>
    </w:p>
    <w:p w14:paraId="1496D6CC">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（五）在已竣工验收的住宅、商业、商务类建设工程用地范围内或者利用住宅、商业、商务类建设工程擅自新建、搭建建筑物、构筑物；</w:t>
      </w:r>
    </w:p>
    <w:p w14:paraId="3F0AFCE7">
      <w:pPr>
        <w:ind w:firstLine="632" w:firstLineChars="200"/>
        <w:rPr>
          <w:rFonts w:ascii="Times New Roman" w:hAnsi="Times New Roman" w:cs="仿宋_GB2312"/>
          <w:sz w:val="32"/>
          <w:szCs w:val="32"/>
        </w:rPr>
      </w:pPr>
      <w:r>
        <w:rPr>
          <w:rFonts w:hint="eastAsia" w:ascii="Times New Roman" w:hAnsi="Times New Roman" w:cs="仿宋_GB2312"/>
          <w:sz w:val="32"/>
          <w:szCs w:val="32"/>
        </w:rPr>
        <w:t>（六）应当认定为无法采取改正措施消除影响的其他情形。</w:t>
      </w:r>
    </w:p>
    <w:p w14:paraId="1EEC510D">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前款第四项规定的合理误差范围的标准由省自然资源主管部门制定。</w:t>
      </w:r>
    </w:p>
    <w:p w14:paraId="37F878B9">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本条第一款规定的违法收入按照该建设工程的销售平均单价或者市场评估单价与违法建设面积的乘积确定；建设工程造价按照有违法建设情形的单项或者单体工程造价确定。</w:t>
      </w:r>
    </w:p>
    <w:p w14:paraId="2B6C97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第七十五条</w:t>
      </w:r>
      <w:r>
        <w:rPr>
          <w:rFonts w:hint="eastAsia" w:ascii="Times New Roman" w:hAnsi="Times New Roman" w:cs="仿宋_GB2312"/>
          <w:sz w:val="32"/>
          <w:szCs w:val="32"/>
        </w:rPr>
        <w:t>　未取得乡村建设规划许可证或者未按照乡村建设规划许可证的规定进行建设的，由乡镇人民政府、街道办事处责令停止建设，限期改正；对其中违法行为情节严重且违法行为人逾期不改正的，乡镇人民政府、街道办事处应当拆除。</w:t>
      </w:r>
    </w:p>
    <w:p w14:paraId="710F47C2">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前款规定的应当拆除的具体情形，由设区的市人民政府规定。</w:t>
      </w:r>
    </w:p>
    <w:p w14:paraId="6CB679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第七十六条</w:t>
      </w:r>
      <w:r>
        <w:rPr>
          <w:rFonts w:hint="eastAsia" w:ascii="Times New Roman" w:hAnsi="Times New Roman" w:cs="仿宋_GB2312"/>
          <w:sz w:val="32"/>
          <w:szCs w:val="32"/>
        </w:rPr>
        <w:t>　房屋所有权人、房屋使用权人擅自改变建设工程规划许可证确定的房屋用途的，由设区的市、县（市、区）自然资源主管部门责令限期改正，没收违法所得，对单位并处违法所得一倍以上二倍以下的罚款，没有违法所得或者违法所得不足五万元的，并处二万元以上五万元以下的罚款；对个人可以并处违法所得一倍以下的罚款。</w:t>
      </w:r>
    </w:p>
    <w:p w14:paraId="4E176B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第七十七条</w:t>
      </w:r>
      <w:r>
        <w:rPr>
          <w:rFonts w:hint="eastAsia" w:ascii="Times New Roman" w:hAnsi="Times New Roman" w:cs="仿宋_GB2312"/>
          <w:sz w:val="32"/>
          <w:szCs w:val="32"/>
        </w:rPr>
        <w:t>　建设单位或者个人擅自改变临时规划许可确定的建筑用途的，由设区的市、县（市、区）自然资源主管部门责令限期改正，可以处临时建设工程造价一倍以下的罚款。</w:t>
      </w:r>
    </w:p>
    <w:p w14:paraId="2DA28A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第七十八条</w:t>
      </w:r>
      <w:r>
        <w:rPr>
          <w:rFonts w:hint="eastAsia" w:ascii="Times New Roman" w:hAnsi="Times New Roman" w:cs="仿宋_GB2312"/>
          <w:sz w:val="32"/>
          <w:szCs w:val="32"/>
        </w:rPr>
        <w:t>　建设单位或者个人未取得建设工程规划核实确认书组织建设工程竣工验收的，由设区的市、县（市、区）自然资源主管部门责令限期改正；逾期不改正的，处二万元以上二十万元以下的罚款。</w:t>
      </w:r>
    </w:p>
    <w:p w14:paraId="105DA1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第七十九条</w:t>
      </w:r>
      <w:r>
        <w:rPr>
          <w:rFonts w:hint="eastAsia" w:ascii="Times New Roman" w:hAnsi="Times New Roman" w:cs="仿宋_GB2312"/>
          <w:sz w:val="32"/>
          <w:szCs w:val="32"/>
        </w:rPr>
        <w:t>　对无法确定建设单位或者个人的违法建设项目，设区的市、县（市、区）自然资源主管部门应当在报纸等公共媒体和违法建设项目现场予以公告，告知建设单位或者个人依法接受处理，公告期限不少于三十日。公告期限届满仍无法确定建设单位或者个人的，设区的市、县（市、区）人民政府可以责成有关部门依法予以拆除或者没收。</w:t>
      </w:r>
    </w:p>
    <w:p w14:paraId="45709246">
      <w:pPr>
        <w:ind w:firstLine="632" w:firstLineChars="200"/>
        <w:rPr>
          <w:rFonts w:ascii="Times New Roman" w:hAnsi="Times New Roman" w:cs="仿宋_GB2312"/>
          <w:sz w:val="32"/>
          <w:szCs w:val="32"/>
        </w:rPr>
      </w:pPr>
      <w:r>
        <w:rPr>
          <w:rFonts w:hint="eastAsia" w:ascii="Times New Roman" w:hAnsi="Times New Roman" w:cs="仿宋_GB2312"/>
          <w:sz w:val="32"/>
          <w:szCs w:val="32"/>
        </w:rPr>
        <w:t>无法确定建设单位或者个人的违法建设项目，不及时拆除影响安全、交通等的，可以在向公证机关办理证据保全手续后直接予以拆除。</w:t>
      </w:r>
    </w:p>
    <w:p w14:paraId="7DC38D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第八十条</w:t>
      </w:r>
      <w:r>
        <w:rPr>
          <w:rFonts w:hint="eastAsia" w:ascii="Times New Roman" w:hAnsi="Times New Roman" w:cs="仿宋_GB2312"/>
          <w:sz w:val="32"/>
          <w:szCs w:val="32"/>
        </w:rPr>
        <w:t>　自然资源主管部门作出责令停止建设的决定后，当事人不停止建设的，自然资源主管部门应当立即向本级人民政府报告。设区的市、县（市、区）人民政府应当责成有关部门采取拆除继续建设部分、查封施工现场等措施。</w:t>
      </w:r>
    </w:p>
    <w:p w14:paraId="33AD04DD">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资源主管部门作出责令限期拆除的决定后，当事人逾期不拆除又在法定期限内不申请行政复议或者不提起行政诉讼的，自然资源主管部门应当自法定期限届满之日起十五日内向本级人民政府报告。设区的市、县（市、区）人民政府应当自收到报告之日起三十日内书面责成有关部门强制拆除。</w:t>
      </w:r>
    </w:p>
    <w:p w14:paraId="78E5BBEA">
      <w:pPr>
        <w:rPr>
          <w:rFonts w:ascii="Times New Roman" w:hAnsi="Times New Roman" w:eastAsia="宋体" w:cs="宋体"/>
          <w:szCs w:val="32"/>
        </w:rPr>
      </w:pPr>
    </w:p>
    <w:p w14:paraId="11E26738">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78727EC0">
      <w:pPr>
        <w:rPr>
          <w:rFonts w:ascii="Times New Roman" w:hAnsi="Times New Roman" w:eastAsia="宋体" w:cs="宋体"/>
          <w:szCs w:val="32"/>
        </w:rPr>
      </w:pPr>
    </w:p>
    <w:p w14:paraId="3B2B30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第八十一条</w:t>
      </w:r>
      <w:r>
        <w:rPr>
          <w:rFonts w:hint="eastAsia" w:ascii="Times New Roman" w:hAnsi="Times New Roman" w:cs="仿宋_GB2312"/>
          <w:sz w:val="32"/>
          <w:szCs w:val="32"/>
        </w:rPr>
        <w:t>　办理建设工程规划许可、竣工规划核实手续时对建筑面积的计算，按照国家和省房产测量规范执行。</w:t>
      </w:r>
    </w:p>
    <w:p w14:paraId="71D1AB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第八十二条</w:t>
      </w:r>
      <w:r>
        <w:rPr>
          <w:rFonts w:hint="eastAsia" w:ascii="Times New Roman" w:hAnsi="Times New Roman" w:cs="仿宋_GB2312"/>
          <w:sz w:val="32"/>
          <w:szCs w:val="32"/>
        </w:rPr>
        <w:t>　本条例自2025年1月1日起施行。《浙江省土地利用总体规划条例》《浙江省城乡规划条例》同时废止。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FkOGQwMTVkYzc5MGFmYTZiZGE4NzI1YmE3OWMyO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D6D45"/>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32</Pages>
  <Words>15032</Words>
  <Characters>15040</Characters>
  <Lines>87</Lines>
  <Paragraphs>24</Paragraphs>
  <TotalTime>3</TotalTime>
  <ScaleCrop>false</ScaleCrop>
  <LinksUpToDate>false</LinksUpToDate>
  <CharactersWithSpaces>15160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2024-10-31T07:27:35Z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