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5C35" w:rsidRDefault="00305C35" w:rsidP="00305C3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05C35" w:rsidRDefault="00305C35" w:rsidP="00305C3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05C35" w:rsidRPr="00305C35" w:rsidRDefault="00305C35" w:rsidP="00305C3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05C35">
        <w:rPr>
          <w:rFonts w:asciiTheme="majorEastAsia" w:eastAsiaTheme="majorEastAsia" w:hAnsiTheme="majorEastAsia" w:cs="仿宋_GB2312" w:hint="eastAsia"/>
          <w:bCs/>
          <w:color w:val="000000"/>
          <w:kern w:val="0"/>
          <w:sz w:val="44"/>
          <w:szCs w:val="44"/>
          <w:lang w:val="zh-CN"/>
        </w:rPr>
        <w:t>浙江省湿地保护条例</w:t>
      </w:r>
    </w:p>
    <w:p w:rsidR="00305C35" w:rsidRDefault="00305C35" w:rsidP="00305C35">
      <w:pPr>
        <w:autoSpaceDE w:val="0"/>
        <w:autoSpaceDN w:val="0"/>
        <w:adjustRightInd w:val="0"/>
        <w:jc w:val="center"/>
        <w:rPr>
          <w:rFonts w:asciiTheme="minorEastAsia" w:hAnsiTheme="minorEastAsia" w:cs="仿宋_GB2312" w:hint="eastAsia"/>
          <w:color w:val="000000"/>
          <w:kern w:val="0"/>
          <w:szCs w:val="21"/>
          <w:lang w:val="zh-CN"/>
        </w:rPr>
      </w:pPr>
    </w:p>
    <w:p w:rsidR="00305C35" w:rsidRPr="00305C35" w:rsidRDefault="00305C35" w:rsidP="00305C3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05C35">
        <w:rPr>
          <w:rFonts w:ascii="楷体_GB2312" w:eastAsia="楷体_GB2312" w:hAnsiTheme="minorEastAsia" w:cs="仿宋_GB2312" w:hint="eastAsia"/>
          <w:color w:val="000000"/>
          <w:kern w:val="0"/>
          <w:szCs w:val="21"/>
          <w:lang w:val="zh-CN"/>
        </w:rPr>
        <w:t>（2012年5月30日浙江省第十一届人民代表大会常务委员会第三十三次会议通过　2012年5月30日浙江省第十一届人民代表大会常务委员会公告第79号公布　自2012年12月1日起施行）</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p>
    <w:p w:rsidR="00305C35" w:rsidRPr="00305C35" w:rsidRDefault="00305C35" w:rsidP="00305C35">
      <w:pPr>
        <w:autoSpaceDE w:val="0"/>
        <w:autoSpaceDN w:val="0"/>
        <w:adjustRightInd w:val="0"/>
        <w:jc w:val="center"/>
        <w:rPr>
          <w:rFonts w:ascii="黑体" w:eastAsia="黑体" w:hAnsi="黑体" w:cs="仿宋_GB2312" w:hint="eastAsia"/>
          <w:color w:val="000000"/>
          <w:kern w:val="0"/>
          <w:szCs w:val="21"/>
          <w:lang w:val="zh-CN"/>
        </w:rPr>
      </w:pPr>
      <w:r w:rsidRPr="00305C35">
        <w:rPr>
          <w:rFonts w:ascii="黑体" w:eastAsia="黑体" w:hAnsi="黑体" w:cs="仿宋_GB2312" w:hint="eastAsia"/>
          <w:bCs/>
          <w:color w:val="000000"/>
          <w:kern w:val="0"/>
          <w:szCs w:val="21"/>
          <w:lang w:val="zh-CN"/>
        </w:rPr>
        <w:t>第一章</w:t>
      </w:r>
      <w:r w:rsidRPr="00305C35">
        <w:rPr>
          <w:rFonts w:ascii="黑体" w:eastAsia="黑体" w:hAnsi="黑体" w:cs="仿宋_GB2312" w:hint="eastAsia"/>
          <w:color w:val="000000"/>
          <w:kern w:val="0"/>
          <w:szCs w:val="21"/>
          <w:lang w:val="zh-CN"/>
        </w:rPr>
        <w:t xml:space="preserve">　总</w:t>
      </w:r>
      <w:r w:rsidRPr="00305C35">
        <w:rPr>
          <w:rFonts w:ascii="黑体" w:eastAsia="黑体" w:hAnsi="黑体" w:cs="仿宋_GB2312" w:hint="eastAsia"/>
          <w:color w:val="000000"/>
          <w:kern w:val="0"/>
          <w:szCs w:val="21"/>
          <w:lang w:val="zh-CN"/>
        </w:rPr>
        <w:t>则</w:t>
      </w:r>
    </w:p>
    <w:p w:rsidR="00305C35" w:rsidRPr="00EC525E" w:rsidRDefault="00305C35" w:rsidP="00305C35">
      <w:pPr>
        <w:autoSpaceDE w:val="0"/>
        <w:autoSpaceDN w:val="0"/>
        <w:adjustRightInd w:val="0"/>
        <w:rPr>
          <w:rFonts w:asciiTheme="minorEastAsia" w:hAnsiTheme="minorEastAsia" w:cs="仿宋_GB2312"/>
          <w:color w:val="000000"/>
          <w:kern w:val="0"/>
          <w:szCs w:val="21"/>
          <w:lang w:val="zh-CN"/>
        </w:rPr>
      </w:pP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为了加强湿地保护，改善湿地生态状况，维护湿地生态功能和生物多样性，促进湿地资源可持续利用，推进生态文明建设，根据有关法律、行政法规的规定，结合本省实际，制定本条例。</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本省行政区域内湿地的保护、利用和管理等活动，适用本条例。</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本条例所称湿地，是指天然或者人工形成、常年或者季节性积水、适宜野生生物生长、具有较强生态功能并列入县级以上人民政府保护名录的潮湿地域。</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本条例所称湿地资源，是指湿地及依附湿地栖息、繁衍、生存的野生生物资源。</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湿地的保护和管理应当遵循严格保护、生态优先、</w:t>
      </w:r>
      <w:r w:rsidRPr="00EC525E">
        <w:rPr>
          <w:rFonts w:asciiTheme="minorEastAsia" w:hAnsiTheme="minorEastAsia" w:cs="仿宋_GB2312" w:hint="eastAsia"/>
          <w:color w:val="000000"/>
          <w:kern w:val="0"/>
          <w:szCs w:val="21"/>
          <w:lang w:val="zh-CN"/>
        </w:rPr>
        <w:lastRenderedPageBreak/>
        <w:t>合理利用、可持续发展的原则。</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县级以上人民政府应当加强湿地保护工作的领导，将湿地保护纳入国民经济和社会发展规划。湿地保护管理经费和湿地生态效益补偿经费列入财政预算。</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乡镇人民政府、街道办事处应当做好湿地保护和管理的相关工作。</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省人民政府成立湿地保护委员会，组织、协调、决定湿地保护工作中的重大问题。</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省湿地保护委员会由省林业、海洋与渔业、建设、发展和改革、财政、水利、农业、环境保护、国土资源、旅游等有关部门组成，日常工作由省林业主管部门承担。</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设区的市、县（市、区）人民政府可以根据需要成立湿地保护协调机构，组织、协调、决定湿地保护工作中的重大问题。</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县级以上人民政府林业主管部门负责湿地保护工作的组织、协调、指导和监督，并具体负责有关的湿地保护和管理工作。</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海洋与渔业、建设、水利等部门按照职责分工，具体负责有关的湿地保护和管理工作。</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发展和改革、财政、环境保护、国土资源、农业、旅游等部门按照各自职责，做好湿地保护和管理的相关工作。</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鼓励各地根据生态建设需要，结合饮用水水源地保护和污水处理等要求建设人工湿地。</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lastRenderedPageBreak/>
        <w:t xml:space="preserve">　　第九条</w:t>
      </w:r>
      <w:r w:rsidRPr="00EC525E">
        <w:rPr>
          <w:rFonts w:asciiTheme="minorEastAsia" w:hAnsiTheme="minorEastAsia" w:cs="仿宋_GB2312" w:hint="eastAsia"/>
          <w:color w:val="000000"/>
          <w:kern w:val="0"/>
          <w:szCs w:val="21"/>
          <w:lang w:val="zh-CN"/>
        </w:rPr>
        <w:t xml:space="preserve">　县级以上人民政府根据需要建立湿地生态效益补偿制度。</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因湿地保护和管理致使相关权利人的合法权益受到损害的，应当依法给予补偿；对其生产、生活造成影响的，还应当</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妥善安排。</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县级以上人民政府及其有关部门应当加强湿地保护工作的宣传教育，增强公民的湿地保护意识。</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公民、法人和其他组织有保护湿地资源的义务，有权对破坏、非法侵占湿地资源的行为进行检举或者控告。</w:t>
      </w:r>
    </w:p>
    <w:p w:rsidR="00E90E05" w:rsidRDefault="00E90E05" w:rsidP="00305C35">
      <w:pPr>
        <w:autoSpaceDE w:val="0"/>
        <w:autoSpaceDN w:val="0"/>
        <w:adjustRightInd w:val="0"/>
        <w:jc w:val="center"/>
        <w:rPr>
          <w:rFonts w:ascii="黑体" w:eastAsia="黑体" w:hAnsi="黑体" w:cs="仿宋_GB2312" w:hint="eastAsia"/>
          <w:bCs/>
          <w:color w:val="000000"/>
          <w:kern w:val="0"/>
          <w:szCs w:val="21"/>
          <w:lang w:val="zh-CN"/>
        </w:rPr>
      </w:pPr>
    </w:p>
    <w:p w:rsidR="00305C35" w:rsidRDefault="00305C35" w:rsidP="00305C35">
      <w:pPr>
        <w:autoSpaceDE w:val="0"/>
        <w:autoSpaceDN w:val="0"/>
        <w:adjustRightInd w:val="0"/>
        <w:jc w:val="center"/>
        <w:rPr>
          <w:rFonts w:ascii="黑体" w:eastAsia="黑体" w:hAnsi="黑体" w:cs="仿宋_GB2312" w:hint="eastAsia"/>
          <w:bCs/>
          <w:color w:val="000000"/>
          <w:kern w:val="0"/>
          <w:szCs w:val="21"/>
          <w:lang w:val="zh-CN"/>
        </w:rPr>
      </w:pPr>
      <w:r w:rsidRPr="00305C35">
        <w:rPr>
          <w:rFonts w:ascii="黑体" w:eastAsia="黑体" w:hAnsi="黑体" w:cs="仿宋_GB2312" w:hint="eastAsia"/>
          <w:bCs/>
          <w:color w:val="000000"/>
          <w:kern w:val="0"/>
          <w:szCs w:val="21"/>
          <w:lang w:val="zh-CN"/>
        </w:rPr>
        <w:t>第二章　规划与名录</w:t>
      </w:r>
    </w:p>
    <w:p w:rsidR="00E90E05" w:rsidRPr="00305C35" w:rsidRDefault="00E90E05" w:rsidP="00305C35">
      <w:pPr>
        <w:autoSpaceDE w:val="0"/>
        <w:autoSpaceDN w:val="0"/>
        <w:adjustRightInd w:val="0"/>
        <w:jc w:val="center"/>
        <w:rPr>
          <w:rFonts w:ascii="黑体" w:eastAsia="黑体" w:hAnsi="黑体" w:cs="仿宋_GB2312"/>
          <w:bCs/>
          <w:color w:val="000000"/>
          <w:kern w:val="0"/>
          <w:szCs w:val="21"/>
          <w:lang w:val="zh-CN"/>
        </w:rPr>
      </w:pP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省林业主管部门应当会同省海洋与渔业、建设、水利、环境保护等部门根据国民经济和社会发展规划，开展湿地资源调查，组织</w:t>
      </w:r>
      <w:proofErr w:type="gramStart"/>
      <w:r w:rsidRPr="00EC525E">
        <w:rPr>
          <w:rFonts w:asciiTheme="minorEastAsia" w:hAnsiTheme="minorEastAsia" w:cs="仿宋_GB2312" w:hint="eastAsia"/>
          <w:color w:val="000000"/>
          <w:kern w:val="0"/>
          <w:szCs w:val="21"/>
          <w:lang w:val="zh-CN"/>
        </w:rPr>
        <w:t>编制省</w:t>
      </w:r>
      <w:proofErr w:type="gramEnd"/>
      <w:r w:rsidRPr="00EC525E">
        <w:rPr>
          <w:rFonts w:asciiTheme="minorEastAsia" w:hAnsiTheme="minorEastAsia" w:cs="仿宋_GB2312" w:hint="eastAsia"/>
          <w:color w:val="000000"/>
          <w:kern w:val="0"/>
          <w:szCs w:val="21"/>
          <w:lang w:val="zh-CN"/>
        </w:rPr>
        <w:t>湿地保护规划，经省湿地保护委员会讨论同意后，报省人民政府批准。</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设区的市、县（市、区）人民政府林业主管部门应当会同有关部门根据国民经济和社会发展规划以及上一级湿地保护规划，组织编制湿地保护规划，报本级人民政府批准。</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湿地保护规划应当与土地利用总体规划、城市总体规划、县（市）域总体规划、生态环境功能区规划、海洋功能区划、流域综合规划等相衔接。</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湿地保护规划报送审批前，应当依法组织环境影响评价，并通过论证会、听证会等形式征求专家和社会公众意见。</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修改、调整湿地保护规划应当按照规划制定程序报原审批机关批准。</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设区的市、县（市、区）人民政府林业主管部门应当会同有关部门根据湿地保护规划以及经济社会发展和生态环境保护需要，提出需要保护的湿地名录，报本级人民政府批准并公布。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设区的市、县（市、区）人民政府批准湿地保护名录前，应当与相关权利人协商，并征求有关村民委员会的意见。</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设区的市、县（市、区）人民政府公布湿地保护名录时，应当同时公布湿地的范围和界线，标示区界，并逐个确定湿地管理部门。</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需要将湿地列入省重要湿地名录的，由湿地所在地设区的市或者县（市、区）人民政府提出申请，省林业主管部门会同有关部门审核提出意见，经省湿地保护委员会讨论同意后，报省人民政府批准并公布。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林业主管部门可以会同有关部门根据省湿地保护规划，在征求湿地所在地设区的市或者县（市、区）人民政府意见后，提出需要列入的省重要湿地名录，经省湿地保护委员会讨论同意后，报省人民政府批准并公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需要将湿地申报列入国家或者国际重要湿地名录的，按照国</w:t>
      </w:r>
      <w:r w:rsidRPr="00EC525E">
        <w:rPr>
          <w:rFonts w:asciiTheme="minorEastAsia" w:hAnsiTheme="minorEastAsia" w:cs="仿宋_GB2312" w:hint="eastAsia"/>
          <w:color w:val="000000"/>
          <w:kern w:val="0"/>
          <w:szCs w:val="21"/>
          <w:lang w:val="zh-CN"/>
        </w:rPr>
        <w:lastRenderedPageBreak/>
        <w:t>家有关规定执行。</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湿地保护名录、省重要湿地名录应当在本条例施行后一个月内公布。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省、设区的市、县（市、区）人民政府应当根据湿地保护的需要和湿地资源的变化情况，及时调整、</w:t>
      </w:r>
      <w:proofErr w:type="gramStart"/>
      <w:r w:rsidRPr="00EC525E">
        <w:rPr>
          <w:rFonts w:asciiTheme="minorEastAsia" w:hAnsiTheme="minorEastAsia" w:cs="仿宋_GB2312" w:hint="eastAsia"/>
          <w:color w:val="000000"/>
          <w:kern w:val="0"/>
          <w:szCs w:val="21"/>
          <w:lang w:val="zh-CN"/>
        </w:rPr>
        <w:t>补充省</w:t>
      </w:r>
      <w:proofErr w:type="gramEnd"/>
      <w:r w:rsidRPr="00EC525E">
        <w:rPr>
          <w:rFonts w:asciiTheme="minorEastAsia" w:hAnsiTheme="minorEastAsia" w:cs="仿宋_GB2312" w:hint="eastAsia"/>
          <w:color w:val="000000"/>
          <w:kern w:val="0"/>
          <w:szCs w:val="21"/>
          <w:lang w:val="zh-CN"/>
        </w:rPr>
        <w:t>重要湿地名录、湿地保护名录并公布。</w:t>
      </w:r>
    </w:p>
    <w:p w:rsidR="00E90E05" w:rsidRDefault="00E90E05" w:rsidP="00305C35">
      <w:pPr>
        <w:autoSpaceDE w:val="0"/>
        <w:autoSpaceDN w:val="0"/>
        <w:adjustRightInd w:val="0"/>
        <w:jc w:val="center"/>
        <w:rPr>
          <w:rFonts w:ascii="黑体" w:eastAsia="黑体" w:hAnsi="黑体" w:cs="仿宋_GB2312" w:hint="eastAsia"/>
          <w:bCs/>
          <w:color w:val="000000"/>
          <w:kern w:val="0"/>
          <w:szCs w:val="21"/>
          <w:lang w:val="zh-CN"/>
        </w:rPr>
      </w:pPr>
    </w:p>
    <w:p w:rsidR="00305C35" w:rsidRDefault="00305C35" w:rsidP="00305C35">
      <w:pPr>
        <w:autoSpaceDE w:val="0"/>
        <w:autoSpaceDN w:val="0"/>
        <w:adjustRightInd w:val="0"/>
        <w:jc w:val="center"/>
        <w:rPr>
          <w:rFonts w:ascii="黑体" w:eastAsia="黑体" w:hAnsi="黑体" w:cs="仿宋_GB2312" w:hint="eastAsia"/>
          <w:bCs/>
          <w:color w:val="000000"/>
          <w:kern w:val="0"/>
          <w:szCs w:val="21"/>
          <w:lang w:val="zh-CN"/>
        </w:rPr>
      </w:pPr>
      <w:r w:rsidRPr="00305C35">
        <w:rPr>
          <w:rFonts w:ascii="黑体" w:eastAsia="黑体" w:hAnsi="黑体" w:cs="仿宋_GB2312" w:hint="eastAsia"/>
          <w:bCs/>
          <w:color w:val="000000"/>
          <w:kern w:val="0"/>
          <w:szCs w:val="21"/>
          <w:lang w:val="zh-CN"/>
        </w:rPr>
        <w:t>第三章　保护方式</w:t>
      </w:r>
    </w:p>
    <w:p w:rsidR="00E90E05" w:rsidRPr="00305C35" w:rsidRDefault="00E90E05" w:rsidP="00305C35">
      <w:pPr>
        <w:autoSpaceDE w:val="0"/>
        <w:autoSpaceDN w:val="0"/>
        <w:adjustRightInd w:val="0"/>
        <w:jc w:val="center"/>
        <w:rPr>
          <w:rFonts w:ascii="黑体" w:eastAsia="黑体" w:hAnsi="黑体" w:cs="仿宋_GB2312"/>
          <w:bCs/>
          <w:color w:val="000000"/>
          <w:kern w:val="0"/>
          <w:szCs w:val="21"/>
          <w:lang w:val="zh-CN"/>
        </w:rPr>
      </w:pP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县级以上人民政府应当采用设立自然保护区、湿地公园、湿地保护小区等方式对湿地进行保护。</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具备自然保护区设立条件的湿地，应当依法设立自然保护区。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自然保护区的保护和管理依照《中华人民共和国自然保护区条例》和《中华人民共和国海洋环境保护法》等法律、法规规定执行。</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具备国家级湿地公园设立条件的湿地，可以依照国家有关规定申请设立国家级湿地公园。</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面积在二十公顷以上，并具备下列条件之一的湿地，可以设立省级湿地公园：</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（一）具有独特的湿地自然景观和较高历史文化价值；</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（二）湿地生态系统在本省范围内具有典型性；</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（三）湿地生物多样性丰富，具有重要或者特殊科学研究、宣传教育价值。</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省级湿地公园应当设立相应的管理机构，具体负责湿地公园的管理工作。</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设立省级湿地公园，由湿地所在地设区的市或者县（市、区）人民政府向省林业主管部门提出申请，并提交下列材料：</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（一）湿地资源状况调查报告；</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（二）证明土地（水域、海域）权属清楚、无争议的文件；</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（三）妥善处理相关权利人合法权益的方案；</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（四）湿地公园总体规划，包括位置、地形、资源分布、土地利用现状、功能分区、保护利用方案等；</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（五）证明筹建管理机构并配备必要的管理人员和技术人员的文件；</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（六）其他设立省级湿地公园必需的相关材料。</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省级湿地公园跨县（市、区）行政区域的，相关县（市、区）人民政府应当共同提出申请；也可以由相关县（市、区）人民政府共同的上一级人民政府提出申请。</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省林业主管部门受理省级湿地公园设立申请后，应当会同有关部门组织专家进行评审并审核提出意见，报省湿地保护委员会讨论同意后，予以批复并命名。</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除按照国家规定和本条例规定命名外，其他任何场所不得使</w:t>
      </w:r>
      <w:r w:rsidRPr="00EC525E">
        <w:rPr>
          <w:rFonts w:asciiTheme="minorEastAsia" w:hAnsiTheme="minorEastAsia" w:cs="仿宋_GB2312" w:hint="eastAsia"/>
          <w:color w:val="000000"/>
          <w:kern w:val="0"/>
          <w:szCs w:val="21"/>
          <w:lang w:val="zh-CN"/>
        </w:rPr>
        <w:lastRenderedPageBreak/>
        <w:t>用湿地公园名称。</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省级湿地公园因保护利用不当或者其他原因造成湿地生态功能受到严重损害的，省林业主管部门应当责令限期修复；经整改确实无法修复的，应当报省湿地保护委员会讨论同意后，取消其省级湿地公园名称。</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第二十四条　</w:t>
      </w:r>
      <w:r w:rsidRPr="00EC525E">
        <w:rPr>
          <w:rFonts w:asciiTheme="minorEastAsia" w:hAnsiTheme="minorEastAsia" w:cs="仿宋_GB2312" w:hint="eastAsia"/>
          <w:color w:val="000000"/>
          <w:kern w:val="0"/>
          <w:szCs w:val="21"/>
          <w:lang w:val="zh-CN"/>
        </w:rPr>
        <w:t>省级湿地公园的名称变更、范围调整，由省林业主管部门会同有关部门审核提出意见，报省湿地保护委员会讨论同意后，予以批复。</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面积在八公顷以上，并具备下列条件之一的湿地，可以设立湿地保护小区：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（一）湿地生态区位比较重要；</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（二）湿地生态系统具有一定的典型性；</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（三）受保护的野生生物物种集中分布。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设立湿地保护小区，由县（市、区）人民政府林业主管部门会同有关部门以及有关乡镇人民政府、街道办事处，根据湿地保护规划，提出湿地保护小区范围和界线的划定方案，报本级人民政府批准并公布。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湿地保护小区设立后，县（市、区）人民政府林业主管部门应当会同有关部门组织编制湿地保护小区总体规划，报本级人民政府批准后组织实施。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未设立自然保护区、湿地公园、湿地保护小区的湿地，县（市、区）人民政府应当根据湿地实际情况，采取必</w:t>
      </w:r>
      <w:r w:rsidRPr="00EC525E">
        <w:rPr>
          <w:rFonts w:asciiTheme="minorEastAsia" w:hAnsiTheme="minorEastAsia" w:cs="仿宋_GB2312" w:hint="eastAsia"/>
          <w:color w:val="000000"/>
          <w:kern w:val="0"/>
          <w:szCs w:val="21"/>
          <w:lang w:val="zh-CN"/>
        </w:rPr>
        <w:lastRenderedPageBreak/>
        <w:t>要的政策、管理和技术措施，保持湿地的自然特性和生态特征，防止湿地生态功能退化。</w:t>
      </w:r>
    </w:p>
    <w:p w:rsidR="00E90E05" w:rsidRDefault="00E90E05" w:rsidP="00305C35">
      <w:pPr>
        <w:autoSpaceDE w:val="0"/>
        <w:autoSpaceDN w:val="0"/>
        <w:adjustRightInd w:val="0"/>
        <w:jc w:val="center"/>
        <w:rPr>
          <w:rFonts w:ascii="黑体" w:eastAsia="黑体" w:hAnsi="黑体" w:cs="仿宋_GB2312" w:hint="eastAsia"/>
          <w:bCs/>
          <w:color w:val="000000"/>
          <w:kern w:val="0"/>
          <w:szCs w:val="21"/>
          <w:lang w:val="zh-CN"/>
        </w:rPr>
      </w:pPr>
    </w:p>
    <w:p w:rsidR="00305C35" w:rsidRDefault="00305C35" w:rsidP="00305C35">
      <w:pPr>
        <w:autoSpaceDE w:val="0"/>
        <w:autoSpaceDN w:val="0"/>
        <w:adjustRightInd w:val="0"/>
        <w:jc w:val="center"/>
        <w:rPr>
          <w:rFonts w:ascii="黑体" w:eastAsia="黑体" w:hAnsi="黑体" w:cs="仿宋_GB2312" w:hint="eastAsia"/>
          <w:bCs/>
          <w:color w:val="000000"/>
          <w:kern w:val="0"/>
          <w:szCs w:val="21"/>
          <w:lang w:val="zh-CN"/>
        </w:rPr>
      </w:pPr>
      <w:r w:rsidRPr="00305C35">
        <w:rPr>
          <w:rFonts w:ascii="黑体" w:eastAsia="黑体" w:hAnsi="黑体" w:cs="仿宋_GB2312" w:hint="eastAsia"/>
          <w:bCs/>
          <w:color w:val="000000"/>
          <w:kern w:val="0"/>
          <w:szCs w:val="21"/>
          <w:lang w:val="zh-CN"/>
        </w:rPr>
        <w:t>第四章　管理措施</w:t>
      </w:r>
    </w:p>
    <w:p w:rsidR="00E90E05" w:rsidRPr="00305C35" w:rsidRDefault="00E90E05" w:rsidP="00305C35">
      <w:pPr>
        <w:autoSpaceDE w:val="0"/>
        <w:autoSpaceDN w:val="0"/>
        <w:adjustRightInd w:val="0"/>
        <w:jc w:val="center"/>
        <w:rPr>
          <w:rFonts w:ascii="黑体" w:eastAsia="黑体" w:hAnsi="黑体" w:cs="仿宋_GB2312"/>
          <w:bCs/>
          <w:color w:val="000000"/>
          <w:kern w:val="0"/>
          <w:szCs w:val="21"/>
          <w:lang w:val="zh-CN"/>
        </w:rPr>
      </w:pP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县级以上人民政府及其林业主管部门，应当组织、协调有关部门建立湿地执法协作机制，加强对湿地保护和管理工作的监督检查。</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县级以上人民政府林业主管部门应当建立湿地信息管理系统，组织、协调有关湿地管理部门、科研机构以及湿地管理机构对湿地资源、湿地利用状况和湿地生态系统进行调查、监测和评估。</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湿地资源保护、利用情况和评估结果，由省林业主管部门定期向社会公布。</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县级以上人民政府林业主管部门应当建立湿地保护档案，保存湿地资源调查、监测、评估以及保护、管理、研究等工作中获得的各项成果、数据和资料。</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湿地保护档案，除依法保密的内容外应当向社会开放。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湿地管理机构应当履行下列职责：</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（一）贯彻执行有关湿地保护的法律、法规、规章和政策；</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（二）制定并实施湿地保护和管理的各项制度；</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（三）对湿地资源进行调查和监测，并采取相应的保护措施；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（四）建立湿地保护和管理档案；</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（五）完善湿地保护基础设施建设；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（六）开展湿地宣传、科普工作；</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（七）劝阻、制止、报告并配合有关部门查处湿地违法行为；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（八）其他与湿地保护和管理相关的职责。</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湿地内禁止下列行为：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（一）设立开发区、工业园区；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（二）擅自开垦、烧荒、填埋湿地，采石、采砂、采矿、开采地下水；</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（三）擅自采集野生植物，放牧，猎捕野生动物，捡拾卵、蛋；</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（四）破坏鱼类等水生生物洄游通道，用法律、法规禁止的方式捕捞鱼类及其他水生生物；</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（五）擅自向湿地引进外来生物物种；</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（六）向湿地投放有毒有害物质，倾倒固体废弃物，擅自排放污水；</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（七）擅自排放湿地蓄水或者修建阻水、排水设施；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（八）毁坏湿地保护设施；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（九）其他毁坏湿地资源的行为。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湿地公园、湿地保护小区内，除禁止本条例第三十二条规定的行为外，还禁止下列行为：</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（一）设立工业企业以及其他影响湿地生态功能的生产设施；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（二）采石、采砂、采矿、开采地下水；</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（三）违反湿地公园总体规划、湿地保护小区总体规划，建设与湿地资源保护无关的建筑物和构筑物；</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（四）擅自举办大型群众性活动。</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在湿地内从事生产经营、观赏旅游、科学调查、研究观测、科普教育等活动，不得影响湿地生态功能，不得对野生生物物种造成损害。</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县级以上人民政府应当按照湿地保护规划的要求，对生态功能出现退化的湿地组织生态修复。因缺水导致湿地生态功能退化的，应当建立补水机制，根据湿地生态功能恢复需要有计划地进行补水。</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交通、通讯、能源等基础设施建设应当尽量避开湿地；确实不能避开的，应当少占用湿地。</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有关部门在编制交通、通讯、能源等专项规划时，确需占用湿地的，应当征求有关湿地管理部门的意见。</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占用湿地的建设项目，建设单位编制的环境影响评价文件应当包括湿地生态功能影响评价，并有相应的湿地保护方案。</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环境保护主管部门在批准占用湿地的建设项目环境影响评价文件前，应当征求有关湿地管理部门的意见。其中，占用国家或者国际、省重要湿地的，还应当征求省林业主管部门的意见。</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建设单位应当按照湿地保护方案采取相应的保护措施。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lastRenderedPageBreak/>
        <w:t xml:space="preserve">　　第三十八条</w:t>
      </w:r>
      <w:r w:rsidRPr="00EC525E">
        <w:rPr>
          <w:rFonts w:asciiTheme="minorEastAsia" w:hAnsiTheme="minorEastAsia" w:cs="仿宋_GB2312" w:hint="eastAsia"/>
          <w:color w:val="000000"/>
          <w:kern w:val="0"/>
          <w:szCs w:val="21"/>
          <w:lang w:val="zh-CN"/>
        </w:rPr>
        <w:t xml:space="preserve">　因湿地保护需要临时占用湿地的，建设单位在申请国土资源主管部门批准临时占用湿地时，应当提交湿地临时占用方案，明确湿地占用范围、期限、用途、相应的保护措施以及使用期满后的恢复措施等。</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国土资源主管部门在批准临时占用湿地申请前，应当征求有关湿地管理部门的意见。</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临时占用期满后，建设单位应当按照湿地临时占用方案恢复原状。</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05C35">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向湿地引进外来生物物种，应当按照国家有关规定办理审批手续，并按照有关技术规范进行引种试验。</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湿地管理部门应当对引进的外来生物物种进行跟踪监测，发现其对湿地生态系统造成危害的，应当及时报告本级人民政府和上一级主管部门，并采取有效措施，消除危害。</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县级以上人民政府林业主管部门以及湿地管理机构应当建立健全野生动物救助机制，及时受理有关救护报告，对受伤、受困的野生动物采取救护措施。</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p>
    <w:p w:rsidR="00305C35" w:rsidRPr="00305C35" w:rsidRDefault="00305C35" w:rsidP="00305C35">
      <w:pPr>
        <w:autoSpaceDE w:val="0"/>
        <w:autoSpaceDN w:val="0"/>
        <w:adjustRightInd w:val="0"/>
        <w:jc w:val="center"/>
        <w:rPr>
          <w:rFonts w:ascii="黑体" w:eastAsia="黑体" w:hAnsi="黑体" w:cs="仿宋_GB2312"/>
          <w:bCs/>
          <w:color w:val="000000"/>
          <w:kern w:val="0"/>
          <w:szCs w:val="21"/>
          <w:lang w:val="zh-CN"/>
        </w:rPr>
      </w:pPr>
      <w:r w:rsidRPr="00305C35">
        <w:rPr>
          <w:rFonts w:ascii="黑体" w:eastAsia="黑体" w:hAnsi="黑体" w:cs="仿宋_GB2312" w:hint="eastAsia"/>
          <w:bCs/>
          <w:color w:val="000000"/>
          <w:kern w:val="0"/>
          <w:szCs w:val="21"/>
          <w:lang w:val="zh-CN"/>
        </w:rPr>
        <w:t>第五章　法律责任</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违反本条例第二十二条第二款规定，擅自使用</w:t>
      </w:r>
      <w:r w:rsidRPr="00EC525E">
        <w:rPr>
          <w:rFonts w:asciiTheme="minorEastAsia" w:hAnsiTheme="minorEastAsia" w:cs="仿宋_GB2312" w:hint="eastAsia"/>
          <w:color w:val="000000"/>
          <w:kern w:val="0"/>
          <w:szCs w:val="21"/>
          <w:lang w:val="zh-CN"/>
        </w:rPr>
        <w:lastRenderedPageBreak/>
        <w:t>湿地公园名称的，由县级以上人民政府林业主管部门责令改正；拒不改正的，处一万元以上十万元以下的罚款。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违反本条例第三十二条规定，有下列行为之一的，由有关湿地管理部门责令停止违法行为，限期改正，并按下列规定处以罚款；造成损失的，责令赔偿损失；有违法所得的，没收违法所得：</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（一）擅自开垦、填埋湿地的，处每平方米十元以上三十元以下的罚款；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（二）擅自烧荒的，处二百元以上一千元以下的罚款；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（三）擅自放牧或者捡拾卵、蛋的，处一百元以上五百元以下的罚款；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（四）擅自排放湿地蓄水或者修建阻水、排水设施的，处二千元以上二万元以下的罚款；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（五）毁坏湿地保护设施的，可以处一千元以上一万元以下的罚款。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三十四条规定，在湿地内从事生产经营、观赏旅游、科学调查、研究观测、科普教育等活动，已经影响湿地生态功能或者对野生生物物种造成损害的，由有关湿地管理部门责令改正，处二百元以上二千元以下的罚款；情节严重的，处二千元以上二万元以下的罚款。</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对违反本条例规定的行为，林业、海洋与渔业、建设、水利、环境保护、国土资源等有关部门可以在法定权限内，</w:t>
      </w:r>
      <w:r w:rsidRPr="00EC525E">
        <w:rPr>
          <w:rFonts w:asciiTheme="minorEastAsia" w:hAnsiTheme="minorEastAsia" w:cs="仿宋_GB2312" w:hint="eastAsia"/>
          <w:color w:val="000000"/>
          <w:kern w:val="0"/>
          <w:szCs w:val="21"/>
          <w:lang w:val="zh-CN"/>
        </w:rPr>
        <w:lastRenderedPageBreak/>
        <w:t>依法委托具备《中华人民共和国行政处罚法》第十九条规定条件的湿地管理机构实施行政处罚。</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林业主管部门、其他有关部门以及湿地管理机构及其工作人员有下列行为之一的，由有权机关按照管理权限，对直接负责的主管人员和其他直接责任人员依法给予处分：</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（一）未按照规定审核建设项目环境影响评价文件、临时占用湿地申请的；</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（二）未依法履行监督管理职责或者因保护利用不当，造成湿地生态系统损害的；</w:t>
      </w: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（三）其他玩忽职守、徇私舞弊、滥用职权的行为。</w:t>
      </w:r>
    </w:p>
    <w:p w:rsidR="00E90E05" w:rsidRDefault="00E90E05" w:rsidP="00305C35">
      <w:pPr>
        <w:autoSpaceDE w:val="0"/>
        <w:autoSpaceDN w:val="0"/>
        <w:adjustRightInd w:val="0"/>
        <w:jc w:val="center"/>
        <w:rPr>
          <w:rFonts w:ascii="黑体" w:eastAsia="黑体" w:hAnsi="黑体" w:cs="仿宋_GB2312" w:hint="eastAsia"/>
          <w:bCs/>
          <w:color w:val="000000"/>
          <w:kern w:val="0"/>
          <w:szCs w:val="21"/>
          <w:lang w:val="zh-CN"/>
        </w:rPr>
      </w:pPr>
    </w:p>
    <w:p w:rsidR="00305C35" w:rsidRDefault="00305C35" w:rsidP="00305C35">
      <w:pPr>
        <w:autoSpaceDE w:val="0"/>
        <w:autoSpaceDN w:val="0"/>
        <w:adjustRightInd w:val="0"/>
        <w:jc w:val="center"/>
        <w:rPr>
          <w:rFonts w:ascii="黑体" w:eastAsia="黑体" w:hAnsi="黑体" w:cs="仿宋_GB2312" w:hint="eastAsia"/>
          <w:bCs/>
          <w:color w:val="000000"/>
          <w:kern w:val="0"/>
          <w:szCs w:val="21"/>
          <w:lang w:val="zh-CN"/>
        </w:rPr>
      </w:pPr>
      <w:r w:rsidRPr="00305C35">
        <w:rPr>
          <w:rFonts w:ascii="黑体" w:eastAsia="黑体" w:hAnsi="黑体" w:cs="仿宋_GB2312" w:hint="eastAsia"/>
          <w:bCs/>
          <w:color w:val="000000"/>
          <w:kern w:val="0"/>
          <w:szCs w:val="21"/>
          <w:lang w:val="zh-CN"/>
        </w:rPr>
        <w:t>第六章</w:t>
      </w:r>
      <w:r w:rsidR="00E90E05">
        <w:rPr>
          <w:rFonts w:ascii="黑体" w:eastAsia="黑体" w:hAnsi="黑体" w:cs="仿宋_GB2312" w:hint="eastAsia"/>
          <w:bCs/>
          <w:color w:val="000000"/>
          <w:kern w:val="0"/>
          <w:szCs w:val="21"/>
          <w:lang w:val="zh-CN"/>
        </w:rPr>
        <w:t xml:space="preserve">　附</w:t>
      </w:r>
      <w:bookmarkStart w:id="0" w:name="_GoBack"/>
      <w:bookmarkEnd w:id="0"/>
      <w:r w:rsidRPr="00305C35">
        <w:rPr>
          <w:rFonts w:ascii="黑体" w:eastAsia="黑体" w:hAnsi="黑体" w:cs="仿宋_GB2312" w:hint="eastAsia"/>
          <w:bCs/>
          <w:color w:val="000000"/>
          <w:kern w:val="0"/>
          <w:szCs w:val="21"/>
          <w:lang w:val="zh-CN"/>
        </w:rPr>
        <w:t>则</w:t>
      </w:r>
    </w:p>
    <w:p w:rsidR="00E90E05" w:rsidRPr="00305C35" w:rsidRDefault="00E90E05" w:rsidP="00305C35">
      <w:pPr>
        <w:autoSpaceDE w:val="0"/>
        <w:autoSpaceDN w:val="0"/>
        <w:adjustRightInd w:val="0"/>
        <w:jc w:val="center"/>
        <w:rPr>
          <w:rFonts w:ascii="黑体" w:eastAsia="黑体" w:hAnsi="黑体" w:cs="仿宋_GB2312"/>
          <w:bCs/>
          <w:color w:val="000000"/>
          <w:kern w:val="0"/>
          <w:szCs w:val="21"/>
          <w:lang w:val="zh-CN"/>
        </w:rPr>
      </w:pPr>
    </w:p>
    <w:p w:rsidR="00305C35" w:rsidRPr="00EC525E" w:rsidRDefault="00305C35" w:rsidP="00305C35">
      <w:pPr>
        <w:autoSpaceDE w:val="0"/>
        <w:autoSpaceDN w:val="0"/>
        <w:adjustRightInd w:val="0"/>
        <w:jc w:val="left"/>
        <w:rPr>
          <w:rFonts w:asciiTheme="minorEastAsia" w:hAnsiTheme="minorEastAsia" w:cs="仿宋_GB2312"/>
          <w:color w:val="000000"/>
          <w:kern w:val="0"/>
          <w:szCs w:val="21"/>
          <w:lang w:val="zh-CN"/>
        </w:rPr>
      </w:pPr>
      <w:r w:rsidRPr="00305C35">
        <w:rPr>
          <w:rFonts w:ascii="黑体" w:eastAsia="黑体" w:hAnsi="黑体" w:cs="仿宋_GB2312" w:hint="eastAsia"/>
          <w:bCs/>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A27" w:rsidRDefault="00D44A27" w:rsidP="00D57722">
      <w:pPr>
        <w:spacing w:line="240" w:lineRule="auto"/>
      </w:pPr>
      <w:r>
        <w:separator/>
      </w:r>
    </w:p>
  </w:endnote>
  <w:endnote w:type="continuationSeparator" w:id="0">
    <w:p w:rsidR="00D44A27" w:rsidRDefault="00D44A2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90E05">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90E05" w:rsidRPr="00E90E05">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A27" w:rsidRDefault="00D44A27" w:rsidP="00D57722">
      <w:pPr>
        <w:spacing w:line="240" w:lineRule="auto"/>
      </w:pPr>
      <w:r>
        <w:separator/>
      </w:r>
    </w:p>
  </w:footnote>
  <w:footnote w:type="continuationSeparator" w:id="0">
    <w:p w:rsidR="00D44A27" w:rsidRDefault="00D44A2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05C35"/>
    <w:rsid w:val="007E7972"/>
    <w:rsid w:val="00821AE1"/>
    <w:rsid w:val="00A0649E"/>
    <w:rsid w:val="00C26BE1"/>
    <w:rsid w:val="00D44A27"/>
    <w:rsid w:val="00D57722"/>
    <w:rsid w:val="00E90E0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876</Words>
  <Characters>4998</Characters>
  <Application>Microsoft Office Word</Application>
  <DocSecurity>0</DocSecurity>
  <Lines>41</Lines>
  <Paragraphs>11</Paragraphs>
  <ScaleCrop>false</ScaleCrop>
  <Company>Microsoft</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