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浙江省红色资源保护传承条例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w:t>
      </w:r>
      <w:bookmarkStart w:id="0" w:name="_GoBack"/>
      <w:bookmarkEnd w:id="0"/>
      <w:r>
        <w:rPr>
          <w:rFonts w:hint="eastAsia" w:ascii="楷体_GB2312" w:hAnsi="楷体_GB2312" w:eastAsia="楷体_GB2312" w:cs="楷体_GB2312"/>
          <w:sz w:val="32"/>
        </w:rPr>
        <w:t>浙江省第十四届人民代表大会常务委员会第九次会议通过）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调查认定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为了加强红色资源保护传承，发扬红色传统，传承红色基因，培育和践行社会主义核心价值观，彰显浙江</w:t>
      </w:r>
      <w:r>
        <w:rPr>
          <w:rFonts w:hint="eastAsia" w:ascii="仿宋_GB2312" w:hAnsi="仿宋_GB2312" w:eastAsia="仿宋_GB2312"/>
          <w:sz w:val="32"/>
          <w:lang w:eastAsia="zh-CN"/>
        </w:rPr>
        <w:t>“</w:t>
      </w:r>
      <w:r>
        <w:rPr>
          <w:rFonts w:ascii="仿宋_GB2312" w:hAnsi="仿宋_GB2312" w:eastAsia="仿宋_GB2312"/>
          <w:sz w:val="32"/>
        </w:rPr>
        <w:t>红色根脉</w:t>
      </w:r>
      <w:r>
        <w:rPr>
          <w:rFonts w:hint="eastAsia" w:ascii="仿宋_GB2312" w:hAnsi="仿宋_GB2312" w:eastAsia="仿宋_GB2312"/>
          <w:sz w:val="32"/>
          <w:lang w:eastAsia="zh-CN"/>
        </w:rPr>
        <w:t>”</w:t>
      </w:r>
      <w:r>
        <w:rPr>
          <w:rFonts w:ascii="仿宋_GB2312" w:hAnsi="仿宋_GB2312" w:eastAsia="仿宋_GB2312"/>
          <w:sz w:val="32"/>
        </w:rPr>
        <w:t>的历史地位，汇聚奋力打造中国特色社会主义共同富裕先行和省域现代化先行的强大精神力量，根据有关法律、行政法规，结合本省实际，制定本条例。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本省行政区域内红色资源的调查认定、保护管理、传承弘扬以及相关保障监督工作，适用本条例。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有关法律、行政法规、省的地方性法规对红色资源中文物、档案、英雄烈士纪念设施、历史建筑等的保护管理已有规定的，从其规定。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红色资源，是指中国共产党团结带领各族人民在新民主主义革命时期、社会主义革命和建设时期、改革开放和社会主义现代化建设新时期、中国特色社会主义新时代所形成的具有历史价值、教育意义、纪念意义的下列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（一）重要旧址、遗址、遗迹、代表性建筑、纪念设施或者场所等不可移动红色资源；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（二）重要档案、文献、手稿、实物、声像资料等可移动红色资源；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（三）英雄模范人物和集体的形象、事迹以及具有重要影响的文艺作品、口述记忆、红色地名等非物质红色资源。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红色资源保护传承坚持中国共产党的领导，坚持尊重史实、科学认定、依法保护、合理利用、大力弘扬、永续传承的原则，实行党委领导、政府负责、部门协同、社会参与的工作机制。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保护传承红色资源是全社会的共同责任。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任何单位和个人有保护红色资源的义务，不得实施污损、侵占、破坏或者歪曲、丑化、亵渎、否定红色资源的行为。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本省加强与长三角区域以及其他省份在红色资源研究、文艺创作、馆际交流、红色旅游等方面的合作协作，促进红色资源保护传承协同发展。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对在红色资源保护传承工作中作出突出贡献的单位和个人，按照国家和省有关规定给予褒扬激励。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管理体制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省、设区的市、县（市、区）建立红色资源保护传承工作协调机制，统筹协调、督促指导红色资源保护传承工作，研究解决工作中的重大问题。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保护传承工作协调机制由省、设区的市、县（市、区）确定的红色资源保护传承主管部门牵头，网信、文化广播电视和旅游（文物）、退役军人事务、住房城乡建设、档案、教育、公安、民政、财政、自然资源、农业农村等部门和其他有关单位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省、设区的市红色资源保护传承工作协调机制设立专家咨询库，为红色资源保护传承工作提供咨询、论证、评审等专业支撑。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应当将红色资源保护传承工作纳入国民经济和社会发展规划纲要，制定相关政策和保障措施，推动红色资源保护传承与文化旅游、乡村振兴等融合发展，支持、督促有关部门和下一级人民政府依法履行红色资源保护传承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红色资源丰富的乡镇人民政府、街道办事处应当明确负责红色资源保护传承的机构及其职责，加强人员力量配备和建设，做好红色资源保护传承相关工作。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基层群众性自治组织应当协助做好红色资源保护传承工作。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红色资源保护传承有关部门按照下列分工开展工作：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（一）文化广播电视和旅游（文物）主管部门负责红色资源中文物的保护传承工作，以及与红色资源保护传承相关的公共文化、旅游服务、宣传弘扬等工作；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（二）退役军人事务主管部门负责红色资源中英雄烈士纪念设施的保护管理以及英雄烈士褒扬工作；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（三）住房城乡建设主管部门负责红色资源中历史建筑的保护传承工作；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（四）档案主管部门负责指导和监督红色档案的保护利用工作；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（五）教育主管部门负责指导和监督学校开展红色资源保护传承教育工作。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其他有关部门和单位按照各自职责，做好红色资源保护传承的相关工作。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工会、共产主义青年团、妇女联合会、残疾人联合会等团体应当根据各自工作对象的特点，结合工作实际，组织开展红色资源保护传承工作。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行业协会、商会等社会组织应当支持、指导会员参与红色资源保护传承工作。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调查认定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本省建立红色资源名录制度，实行分类分级保护。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红色资源名录分为省级、市级、县级，实行动态调整。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红色资源保护传承工作协调机制应当组织省文化广播电视和旅游（文物）、退役军人事务、住房城乡建设、档案等部门，根据红色资源重要程度，以及法律法规规定的分类分级保护要求，制定红色资源认定标准和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级和省级的文物、英雄烈士纪念设施等属于红色资源的，列入省级红色资源名录；市级和县级的文物、英雄烈士纪念设施等属于红色资源的，分别列入市级、县级红色资源名录，也可以根据红色资源重要程度列入上级红色资源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县级以上人民政府文化广播电视和旅游（文物）主管部门应当会同退役军人事务、住房城乡建设、档案等部门组织开展红色资源普查和专项调查，提出拟列入红色资源名录的建议名单。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进行红色资源普查和专项调查时，应当做好红色资源相关典型人物和历史事件参与者、见证者的采访和口述记忆的收集、甄别、保存工作。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单位和个人提供红色资源线索的，红色资源保护传承有关部门应当按照职责分工及时组织调查。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文化广播电视和旅游（文物）主管部门应当会同退役军人事务、住房城乡建设、自然资源、档案等部门组织专家咨询库有关专家对拟列入红色资源名录的建议名单进行评审，提出红色资源名录建议名单，并向社会公示。公示时间不少于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红色资源名录建议名单由县级以上人民政府文化广播电视和旅游（文物）主管部门报红色资源保护传承工作协调机制审核后，报本级人民政府审定公布。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名录应当录入红色资源名录数据库，并在数据库中载明红色资源的名称、年代、类型、所在地、历史价值、权利归属、保护责任人等内容；其中不可移动红色资源还应当载明地理坐标、四至范围以及相应的界址地形图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对现存的列入红色资源名录的重要旧址、遗址、遗迹、代表性建筑、纪念设施或者场所，应当设置红色资源保护标志；对已经消失但列入红色资源名录的遗址，应当在其附近设置红色资源纪念标志。保护标志、纪念标志由红色资源保护传承有关部门按照职责在红色资源名录公布之日起六个月内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保护标志和纪念标志的内容包括名称、保护级别、认定机关、认定日期等，具体样式由省文化广播电视和旅游（文物）主管部门会同省退役军人事务、住房城乡建设等部门提出，报省红色资源保护传承工作协调机制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红色资源中文物、英雄烈士纪念设施和历史建筑等已经依法设置保护标志的，不再重复设置红色资源保护标志。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任何单位和个人不得擅自移动、涂污、拆除、损毁红色资源保护标志和纪念标志。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县级以上人民政府及有关部门应当坚持抢救性保护和预防性保护、本体保护和周边保护、单点保护和集群保护相结合的原则，统筹做好红色资源保护管理。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各级人民政府及有关部门在组织编制国土空间总体规划、详细规划以及文物保护、文化旅游、历史文化名城名镇名村等相关专项规划时，应当体现红色资源保护传承的需要。其中，国土空间详细规划应当落实不可移动红色资源保护范围的空间保护利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各级人民政府应当对主题相近、区域相邻的不可移动红色资源，实施集中连片整体规划和保护。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各级人民政府及有关部门应当加强不可移动红色资源周边道路、街区景观综合整治，使环境氛围与红色资源主题相协调。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新建、改建、扩建不可移动红色资源涉及重大革命历史题材等纪念设施的，应当按照国家有关规定履行报批手续。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红色资源实行保护责任人制度。保护责任人按照下列规定确定：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（一）国家所有的，其管理人或者使用人为保护责任人；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（二）集体所有的，该集体组织或者使用人为保护责任人；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（三）私人所有的，其所有人或者使用人为保护责任人；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（四）权属不明确的，所在地乡镇人民政府、街道办事处为保护责任人或者县（市、区）人民政府指定的专门机构为保护责任人。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鼓励符合条件的单位和个人，通过与红色资源保护传承有关部门或者红色资源所有人、管理人、使用人依法签订保护协议的方式，成为红色资源保护责任人。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红色资源保护责任人履行下列责任：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（一）开展保养、维护和修缮、修复；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（二）采取日常巡查、防火、防盗、防损坏等安全措施；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（三）制止污损、侵占、破坏红色资源的行为；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（四）发现重大险情或者隐患，立即向红色资源保护传承有关部门或者乡镇人民政府、街道办事处报告；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（五）配合红色资源保护传承有关部门进行监督检查、维修、宣传；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红色资源属于私人所有的，县级以上人民政府可以根据红色资源保护传承需要，在自愿、平等协商基础上，通过购买、产权置换、接受捐赠等方式取得红色资源所有权，或者在产权不变的条件下，通过合理补偿、租赁等方式取得红色资源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属于红色资源的农村住宅，其所有权人申请另行建造住宅的，在符合建房条件的情况下，农村集体经济组织或者村民委员会可以优先安排宅基地，并通过协议方式将原住宅收归集体所有，实行原址保护。收归集体的原住宅不再用于居住的，其占地面积可以不计入村庄规划的村民住宅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不可移动红色资源实行原址保护，不得擅自迁移、拆除。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选址应当避开不可移动红色资源；确实无法避开的，应当尽可能对红色资源实施原址保护并事先确定保护措施，接受红色资源保护传承有关部门的指导和监督；确实无法实施原址保护，必须迁移异地保护或者拆除的，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修缮不可移动红色资源应当遵循尊重原貌、最小干预的原则，遵守法律法规和相关技术规范，最大限度保持其历史真实性、风貌完整性和文化延续性；修缮涉及主体结构和革命历史风貌的，保护责任人应当事先向红色资源保护传承有关部门报告，接受其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非国有不可移动红色资源的保护责任人缺乏修缮能力的，设区的市、县（市、区）人民政府及红色资源保护传承有关部门应当给予支持；有损毁危险的，应当及时采取抢救性保护措施。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红色资源中不可移动文物、英雄烈士纪念设施和历史建筑，依法划定保护范围、建设控制地带，并采取相应保护措施。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前款规定以外的其他不可移动红色资源，可以根据需要合理划定保护范围，并向社会公布。划定红色资源保护范围的，由县级以上人民政府根据红色资源等级分别划定。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禁止侵占保护范围内的土地，污损、侵占、破坏相关设施，或者在保护范围内开展有损红色资源环境和氛围的活动。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红色资源中可移动文物、档案，按照有关法律、法规规定实施保护管理。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前款规定以外的可移动红色资源，按照红色资源保护传承有关部门提出的要求，实施保护管理。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红色资源保护传承有关部门以及革命博物馆、纪念馆、党史馆、军史馆、档案馆、方志馆、爱国主义教育基地等单位应当加强对重要档案、文献、手稿、实物、声像资料等可移动红色资源的征集、收购以及预防性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传承弘扬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各级国家机关应当将红色资源作为坚定理想信念，培育社会主义核心价值观，弘扬爱国主义、集体主义、社会主义的生动教材，开展党史、新中国史、改革开放史、社会主义发展史和中华民族发展史学习教育，发挥红色资源固本培元、凝心聚力、铸魂育人、推动发展的社会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红色资源保护传承有关部门应当会同干部教育培训机构、社会科学研究机构、高等学校等加强红色资源理论研究的整体规划、资源统筹，整理提炼红色故事和革命精神，挖掘阐释浙江红色资源的历史价值和时代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鼓励和支持以红船精神、</w:t>
      </w:r>
      <w:r>
        <w:rPr>
          <w:rFonts w:hint="eastAsia" w:ascii="仿宋_GB2312" w:hAnsi="仿宋_GB2312" w:eastAsia="仿宋_GB2312"/>
          <w:sz w:val="32"/>
          <w:lang w:eastAsia="zh-CN"/>
        </w:rPr>
        <w:t>“</w:t>
      </w:r>
      <w:r>
        <w:rPr>
          <w:rFonts w:ascii="仿宋_GB2312" w:hAnsi="仿宋_GB2312" w:eastAsia="仿宋_GB2312"/>
          <w:sz w:val="32"/>
        </w:rPr>
        <w:t>八八战略</w:t>
      </w:r>
      <w:r>
        <w:rPr>
          <w:rFonts w:hint="eastAsia" w:ascii="仿宋_GB2312" w:hAnsi="仿宋_GB2312" w:eastAsia="仿宋_GB2312"/>
          <w:sz w:val="32"/>
          <w:lang w:eastAsia="zh-CN"/>
        </w:rPr>
        <w:t>”</w:t>
      </w:r>
      <w:r>
        <w:rPr>
          <w:rFonts w:ascii="仿宋_GB2312" w:hAnsi="仿宋_GB2312" w:eastAsia="仿宋_GB2312"/>
          <w:sz w:val="32"/>
        </w:rPr>
        <w:t>、浙江精神等为主题的红色资源理论研究，红色资源相关理论研究按照规定纳入哲学社会科学研究课题。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新闻出版单位应当支持红色资源理论研究成果、红色主题出版物的出版发行，开展红色主题出版物的出版策划和宣传推广。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文化广播电视和旅游（文物）、教育、新闻出版等部门应当支持红色主题文艺作品的创作和传播，通过文艺精品创作扶持等机制，加大支持力度。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鼓励文艺工作者、文艺表演团体、演出场所经营单位等开展以红色资源为题材的小说、戏剧、音乐、美术、曲艺、影视等文学艺术作品创作、展演展映等活动。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具有公益宣传责任的报刊、广播、电视、网站、新媒体等应当坚持正确舆论导向，通过新闻专栏、公益广告、短视频等方式，弘扬红色文化，创新传播方式，增强传播效果。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革命博物馆、纪念馆、党史馆、军史馆、档案馆、方志馆以及爱国主义教育基地等单位，应当依法将馆藏或者收藏的红色资源免费向社会公众开放，并提供陈列展览、展示体验、公益讲座等服务。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鼓励单位和个人将收藏的红色资源出借或者捐赠给前款规定的单位进行展览和研究。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红色资源展陈应当坚持政治性、思想性、艺术性相统一，用史实说话。展示大纲和解说词由红色资源保护传承有关部门按照有关规定报送审定，保证准确、完整和权威。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本省在中国共产党的诞生纪念日、国庆节、建军节、清明节、烈士纪念日以及重大历史事件纪念日等节点，集中开展红色资源宣传教育。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鼓励在重要旧址、遗址、遗迹、代表性建筑、纪念设施或者场所开展参观学习、缅怀纪念、入党入团入队仪式、主题党日、现场党课等活动。有关管理单位应当提供便利。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省红色资源保护传承主管部门组织教育、档案等部门编写面向学生的地方红色资源教育读本，为学校开展红色资源教育活动提供指导。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教育主管部门应当将红色资源传承融入思想道德、文化知识、社会实践等教育教学内容。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学校应当利用红色资源有针对性地开展教育教学活动，组织学生参观重要旧址、遗址、遗迹、代表性建筑、纪念设施或者场所，开展革命传统教育和爱国主义教育。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干部教育培训机构应当将红色资源教育纳入教学必修课程，组织学员到重要旧址、遗址、遗迹、代表性建筑、纪念设施或者场所开展现场教学。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鼓励、支持红色资源丰富的地区探索开展社会化的红色资源教育活动。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本省将红色资源传承弘扬融入重大文化品牌活动，拓展红色资源宣传阵地。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各级人民政府及有关部门应当组织开展形式多样的群众性主题宣传教育活动，运用报告会、座谈会、知识竞赛、主题宣讲、读书活动等形式讲好红色故事，引导公众参与红色资源传承弘扬。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县级以上人民政府及有关部门应当依托红色资源发展红色旅游，加强红色旅游景区景点建设，完善道路、通信等基础设施和公共文化服务设施，优化红色旅游服务。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广播电视和旅游（文物）主管部门应当创新红色旅游发展模式，指导企业挖掘红色文化内涵，开发红色旅游景区、精品线路、研学旅行线路，研发红色文化创意产品，延长红色旅游产业链，打造具有影响力的红色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鼓励和支持社会力量参与红色旅游资源开发。红色资源保护传承有关部门应当按照各自职责，加强指导和监督。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县级以上人民政府及有关部门应当将红色资源传承弘扬纳入新时代文明实践活动，推动学校、企业、社区等开展红色资源宣传教育活动，引导学生、职工、社区居民铭记革命历史，传承革命传统。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鼓励依托重要旧址、遗址、遗迹、代表性建筑、纪念设施或者场所创建爱国主义教育、党史教育、廉政教育、国防教育、学生社会实践等基地，发挥红色资源的社会教育功能。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鼓励重要旧址、遗址、遗迹、代表性建筑、纪念设施或者场所管理单位与国家机关、社会团体、企业事业单位和其他组织建立共建共享机制，为开展爱国主义教育等活动提供便利。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省红色资源保护传承主管部门依托一体化智能化公共数据平台，建立全省统一的红色资源名录数据库，并加强数据共享和业务协同，推动红色资源保护传承有关部门为公众提供红色资源线上信息共享服务。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红色资源保护传承有关部门应当运用数字化技术对红色资源进行记录、整理、建档和应用，数字化成果应当依法开放、共享。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鼓励红色资源所有人、使用人运用互联网、大数据等现代信息技术，开设网上展馆，推出云展览、云直播等多样化展示活动，增强知识性、互动性、体验性。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县级以上人民政府应当建立与经济社会发展相适应的经费保障机制，通过购买服务、项目补贴、以奖代补等方式支持红色资源保护传承工作。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红色资源保护传承有关部门、乡镇人民政府、街道办事处应当保障红色资源保护传承工作的相应经费。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省、设区的市人民政府应当加强对革命老区、山区、海岛等加快发展地区红色资源保护传承工作的资金支持。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县级以上人民政府及红色资源保护传承有关部门应当建立健全红色资源保护传承多元投入机制，引导社会资金参与红色资源保护传承工作。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县级以上人民政府可以通过产业投资基金等投资融资机制，引导社会资本投资红色旅游、红色公园重大项目建设，拓宽融资渠道。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及红色资源保护传承有关部门应当加强红色资源保护传承领域人才培养，组织开展管理人员、保护修复人员、讲解人员业务能力培训，提高职业素养和服务能力，支持符合条件的人员参与相关专业职称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革命博物馆、纪念馆、党史馆、军史馆、档案馆、方志馆等单位，应当合理设置讲解人员专业技术岗位比例。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鼓励支持科研机构、高等学校、职业学校等加强与重要旧址、遗址、遗迹、代表性建筑、纪念设施或者场所管理单位合作，培养符合红色资源保护传承需求的相关专业人才。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县级以上人民政府及红色资源保护传承有关部门应当按照志愿服务有关法律、法规，建立健全红色资源传承弘扬志愿者培训、激励和管理制度，指导和支持志愿服务工作。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鼓励和支持英雄模范、老战士、老干部、专家学者和青年学生等担任志愿讲解员，弘扬传播红色文化。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红色资源传承弘扬应当坚持正确党史观，反对历史虚无主义，抵制庸俗化、娱乐化。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权对污损、侵占、破坏或者歪曲、丑化、亵渎、否定红色资源的行为进行劝阻、投诉、举报。红色资源保护传承有关部门应当及时受理投诉、举报并调查核实，督促整改；对不属于本部门职责，需要由其他部门进行调查处理的，转交其他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县级以上人民政府及红色资源保护传承有关部门应当加强红色资源保护传承工作评估和监督检查；存在红色资源保护不力等情形的，按照国家和省有关规定给予提醒、约谈和督促整改。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对侵害红色资源、保护不力、利用不当等损害国家利益、社会公共利益的行为，检察机关可以依照法律规定提出检察建议或者提起公益诉讼。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违反本条例规定，污损、侵占、破坏或者歪曲、丑化、亵渎、否定红色资源的，由有关部门按照职责责令改正；造成损失的，依法承担民事责任；构成违反治安管理行为的，由公安机关依法给予治安管理处罚。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违反本条例第十六条规定，擅自移动、涂污、拆除、损毁红色资源保护标志或者纪念标志的，由文化广播电视和旅游（文物）主管部门责令改正，可以处二百元以上二千元以下罚款。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1D62EA"/>
    <w:rsid w:val="0D9804AC"/>
    <w:rsid w:val="10340FFD"/>
    <w:rsid w:val="11E4354D"/>
    <w:rsid w:val="16DC7373"/>
    <w:rsid w:val="344634A2"/>
    <w:rsid w:val="3D516CC2"/>
    <w:rsid w:val="3DE63740"/>
    <w:rsid w:val="41A73354"/>
    <w:rsid w:val="481351D2"/>
    <w:rsid w:val="528F1C9C"/>
    <w:rsid w:val="53543565"/>
    <w:rsid w:val="558A062C"/>
    <w:rsid w:val="622F12CF"/>
    <w:rsid w:val="653E08AD"/>
    <w:rsid w:val="659C33DF"/>
    <w:rsid w:val="6C5A0E3F"/>
    <w:rsid w:val="6D0A461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2024-05-20T08:43:11Z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