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Cs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Cs/>
          <w:sz w:val="44"/>
          <w:szCs w:val="44"/>
        </w:rPr>
      </w:pPr>
      <w:r>
        <w:rPr>
          <w:rFonts w:hint="eastAsia" w:ascii="宋体" w:hAnsi="宋体" w:eastAsia="宋体" w:cs="宋体"/>
          <w:bCs/>
          <w:sz w:val="44"/>
          <w:szCs w:val="44"/>
        </w:rPr>
        <w:t>海南省人民代表大会常务委员会关于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Cs/>
          <w:sz w:val="44"/>
          <w:szCs w:val="44"/>
        </w:rPr>
      </w:pPr>
      <w:r>
        <w:rPr>
          <w:rFonts w:hint="eastAsia" w:ascii="宋体" w:hAnsi="宋体" w:eastAsia="宋体" w:cs="宋体"/>
          <w:bCs/>
          <w:sz w:val="44"/>
          <w:szCs w:val="44"/>
        </w:rPr>
        <w:t>在海南经济特区停止实施部分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Cs/>
          <w:sz w:val="44"/>
          <w:szCs w:val="44"/>
        </w:rPr>
      </w:pPr>
      <w:r>
        <w:rPr>
          <w:rFonts w:hint="eastAsia" w:ascii="宋体" w:hAnsi="宋体" w:eastAsia="宋体" w:cs="宋体"/>
          <w:bCs/>
          <w:sz w:val="44"/>
          <w:szCs w:val="44"/>
        </w:rPr>
        <w:t>行政审批事项的决定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 w:firstLine="640" w:firstLineChars="200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420" w:leftChars="200" w:right="420" w:rightChars="20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（2015年9月25日海南省第五届人民代表大会常务委员会第十七次会议通过）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 w:firstLine="640" w:firstLineChars="200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 w:firstLine="640" w:firstLineChars="200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为推进简政放权，促进政府职能转变，提高行政效率，根据有关法律、行政法规的规定，决定在海南经济特区停止实施19项行政审批事项（目录附后）。对停止实施的行政审批事项，省人民政府应当制定相关的管理措施，强化事中事后监管，防止出现管理真空；对实践证明不宜停止实施的，恢复实施有关行政审批事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 w:firstLine="640" w:firstLineChars="200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 w:firstLine="640" w:firstLineChars="200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jc w:val="center"/>
        <w:outlineLvl w:val="9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停止实施的行政审批事项目录（19项）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 w:firstLine="640" w:firstLineChars="200"/>
        <w:outlineLvl w:val="9"/>
        <w:rPr>
          <w:rFonts w:hint="eastAsia" w:ascii="宋体" w:hAnsi="宋体" w:eastAsia="宋体" w:cs="宋体"/>
          <w:sz w:val="32"/>
          <w:szCs w:val="32"/>
        </w:rPr>
      </w:pPr>
    </w:p>
    <w:tbl>
      <w:tblPr>
        <w:tblStyle w:val="5"/>
        <w:tblW w:w="9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2216"/>
        <w:gridCol w:w="3752"/>
        <w:gridCol w:w="1155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序号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项目名称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设定依据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实施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机关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jc w:val="center"/>
              <w:outlineLvl w:val="9"/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企业投资项目核准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《国务院对确需保留的行政审批项目设定行政许可的决定》（国务院令第412号）、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《国务院关于投资体制改革的决定》（国发[2004]20号）第二条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省发展和改革委员会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5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2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非政府投资工业高新技术信息产业新建和技改项目核准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《国务院对确需保留的行政审批项目设定行政许可的决定》（国务院令第412号）、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《国务院关于投资体制改革的决定》（国发[2004]20号）第二条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省工业和信息化厅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3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民办职业技能培训机构审批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《民办教育促进法》第十一条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省人力资源和社会保障厅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4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劳务派遣行政许可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《劳动合同法》第五十七条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省人力资源和社会保障厅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9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5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拍摄文物保护单位审批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458项、《国务院关于第四批取消和调整行政审批项目的决定》（国发〔2007〕33号）《附件2：国务院决定调整的行政审批项目目录（58项）》第28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6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拍摄馆藏一级、二级、三级文物审批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《文物保护法实施条例》（国务院令第377号）第三十五条、《国务院关于第四批取消和调整行政审批项目的决定》（国发〔2007〕33号）《附件2：国务院决定调整的行政审批项目目录（58项）》第27项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9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7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制作考古发掘现场专题类、直播类节目审批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459项、《国务院关于第四批取消和调整行政审批项目的决定》（国发〔2007〕33号）《附件2：国务院决定调整的行政审批项目目录（58项）》第29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8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电影制片单位设立、变更、终止审批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《电影管理条例》（国务院令第342号）第九条、第十二条、《国务院关于取消和调整一批行政审批项目等事项的决定》（国发〔2014〕27号）第32项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9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非电子出版物出版单位委托电子出版物复制单位复制计算机软件、电子媒体非卖品审批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《国务院对确需保留的行政审批项目设定行政许可的决定》（国务院令第412号）第320项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10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基层法律服务工作者执业核准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《国务院对确需保留的行政审批项目设定行政许可的决定》（国务院令第412号）第75项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省司法厅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11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物业服务企业二级及以下资质核准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《物业管理条例》（国务院令第504号）第三十二条、《物业服务企业资质管理办法》（建设部令第125号）第四条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省住房和城乡建设厅</w:t>
            </w:r>
          </w:p>
        </w:tc>
        <w:tc>
          <w:tcPr>
            <w:tcW w:w="1365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12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建筑施工企业主要负责人、项目负责人和专职安全生产管理人员安全生产考核合格证核发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《建设工程安全生产管理条例》（国务院令第393号）第三十六条、《建筑施工企业主要负责人、项目负责人和专职安全生产管理人员安全生产管理规定》（住建部令第17号）第五条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省住房和城乡建设厅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13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成立教育类社会团体审查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《社会团体登记管理条例》（国务院令第250号）第三条、第九条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省教育厅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14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成立教育类基金会审查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《基金会管理条例》（国务院令第400号）第九条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省教育厅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15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成立文化体育类社会团体审查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《社会团体登记管理条例》（国务院令第250号）第三条、第九条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16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成立文化体育类民办非企业单位审查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《民办非企业单位登记管理暂行条例》（国务院令第251号）第三条、第六条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省文化广电出版体育厅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17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成立科技类民办非企业单位审查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《民办非企业单位登记管理暂行条例》（国务院令第251号）第三条、第六条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579" w:lineRule="exact"/>
              <w:ind w:left="0" w:leftChars="0" w:right="0" w:rightChars="0"/>
              <w:textAlignment w:val="center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省科学技术厅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1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18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基金会分支机构、代表机构设立、变更、注销登记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《基金会管理条例》（国务院令第400号）第十二条、第十五条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省民政厅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pacing w:val="-17"/>
                <w:sz w:val="32"/>
                <w:szCs w:val="32"/>
              </w:rPr>
              <w:t>此项为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-17"/>
                <w:sz w:val="32"/>
                <w:szCs w:val="32"/>
              </w:rPr>
              <w:t>“基金会及分支机构、代表机构登记（设立、变更、注销）”项目的子项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5" w:hRule="atLeast"/>
        </w:trPr>
        <w:tc>
          <w:tcPr>
            <w:tcW w:w="54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19</w:t>
            </w:r>
          </w:p>
        </w:tc>
        <w:tc>
          <w:tcPr>
            <w:tcW w:w="22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中药前处理和提取委托加工审批</w:t>
            </w:r>
          </w:p>
        </w:tc>
        <w:tc>
          <w:tcPr>
            <w:tcW w:w="375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药品管理法》第十三条、《药品管理法实施条例》（国务院令第360号）第十条、《国务院关于取消和调整一批行政审批项目等事项的决定》（国发〔2014〕27号）《附件1:国务院决定取消和下放管理层级的行政审批项目目录》第36项</w:t>
            </w:r>
          </w:p>
        </w:tc>
        <w:tc>
          <w:tcPr>
            <w:tcW w:w="115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省食品药品监督管理局</w:t>
            </w:r>
          </w:p>
        </w:tc>
        <w:tc>
          <w:tcPr>
            <w:tcW w:w="1365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bidi w:val="0"/>
              <w:adjustRightInd/>
              <w:snapToGrid/>
              <w:spacing w:line="579" w:lineRule="exact"/>
              <w:ind w:left="0" w:leftChars="0" w:right="0" w:rightChars="0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此项为</w:t>
            </w:r>
            <w:r>
              <w:rPr>
                <w:rFonts w:hint="eastAsia" w:ascii="仿宋_GB2312" w:hAnsi="仿宋_GB2312" w:eastAsia="仿宋_GB2312" w:cs="仿宋_GB2312"/>
                <w:color w:val="000000"/>
                <w:sz w:val="32"/>
                <w:szCs w:val="32"/>
              </w:rPr>
              <w:t>“药品委托生产行政许可”项目的子项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579" w:lineRule="exact"/>
        <w:ind w:left="0" w:leftChars="0" w:right="0" w:rightChars="0"/>
        <w:outlineLvl w:val="9"/>
        <w:rPr>
          <w:rFonts w:hint="eastAsia" w:ascii="宋体" w:hAnsi="宋体" w:eastAsia="宋体" w:cs="宋体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0" w:footer="1701" w:gutter="0"/>
      <w:paperSrc/>
      <w:pgNumType w:fmt="numberInDash"/>
      <w:cols w:space="72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framePr w:wrap="around" w:vAnchor="text" w:hAnchor="margin" w:xAlign="outside" w:yAlign="top"/>
      <w:widowControl w:val="0"/>
      <w:pBdr>
        <w:between w:val="none" w:color="auto" w:sz="50" w:space="0"/>
      </w:pBdr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57" w:rightChars="0" w:firstLine="0" w:firstLineChars="0"/>
      <w:jc w:val="left"/>
      <w:textAlignment w:val="auto"/>
      <w:outlineLvl w:val="9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Style w:val="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Style w:val="4"/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4"/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4"/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Style w:val="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Gfls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s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yMZ+W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left"/>
                      <w:textAlignment w:val="auto"/>
                      <w:outlineLvl w:val="9"/>
                      <w:rPr>
                        <w:rStyle w:val="4"/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4"/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91C3B"/>
    <w:rsid w:val="07091C3B"/>
    <w:rsid w:val="31996ECC"/>
    <w:rsid w:val="509E152B"/>
    <w:rsid w:val="51CE27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2017-01-21T04:09:00Z</dcterms:created>
  <dc:creator>Administrator</dc:creator>
  <cp:lastModifiedBy>Administrator</cp:lastModifiedBy>
  <dcterms:modified xsi:type="dcterms:W3CDTF">2017-02-12T06:34:53Z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