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82337D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海南省人民代表大会常务委员会关于将旅行社设立审批等省级管理权限调整由海南自由贸易"/>
      <w:bookmarkEnd w:id="0"/>
      <w:r>
        <w:rPr>
          <w:rFonts w:hint="eastAsia" w:ascii="方正小标宋简体" w:hAnsi="方正小标宋简体" w:eastAsia="方正小标宋简体" w:cs="方正小标宋简体"/>
          <w:color w:val="333333"/>
          <w:sz w:val="44"/>
          <w:szCs w:val="44"/>
          <w:shd w:val="clear" w:color="auto" w:fill="FFFFFF"/>
        </w:rPr>
        <w:t>海南省人民代表大会常务委员会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关于将旅行社设立审批等省级管理权限</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调整由海南自由贸易港重点园区管理机构</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在重点园区范围内实施的决定</w:t>
      </w:r>
    </w:p>
    <w:p w14:paraId="078D66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（2021年7月27日海南省第六届人民代表大会常务委员会第二十九次会议通过）</w:t>
      </w:r>
    </w:p>
    <w:p w14:paraId="588A7C4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营造法治化、国际化、便利化的营商环境，促进海南自由贸易港重点园区开发建设，赋予重点园区更大的自主发展权，根据有关法律法规和《海南省人民代表大会常务委员会关于海南自由贸易港洋浦经济开发区等重点园区管理体制的决定》，结合海南自由贸易港建设实际，海南省人民代表大会常务委员会决定将17项省级管理权限调整由相关重点园区管理机构在重点园区范围内实施。对已调整由市、县、自治县人民政府实施的有关省级管理权限，市、县、自治县人民政府在重点园区范围内不再实施。</w:t>
      </w:r>
    </w:p>
    <w:p w14:paraId="1F02BCAA">
      <w:pPr>
        <w:ind w:firstLine="632" w:firstLineChars="200"/>
        <w:rPr>
          <w:rFonts w:ascii="Times New Roman" w:hAnsi="Times New Roman" w:cs="仿宋_GB2312"/>
          <w:sz w:val="32"/>
          <w:szCs w:val="32"/>
        </w:rPr>
      </w:pPr>
      <w:r>
        <w:rPr>
          <w:rFonts w:hint="eastAsia" w:ascii="Times New Roman" w:hAnsi="Times New Roman" w:cs="仿宋_GB2312"/>
          <w:sz w:val="32"/>
          <w:szCs w:val="32"/>
        </w:rPr>
        <w:t>原实施机关应当加强对重点园区管理机构的业务培训指导，强化事中事后监管，切实做到放管结合；承接的重点园区管理机构应当周密组织，落实责任，建立承接管理权限的有效机制，做到规范有序，确保严格依法行使职权。原实施机关应当适时对调整实施事项进行评估，对实践证明可行的，继续加强事中事后监管；经评估施行效果不好的，及时按照法定程序收回相关管理权限。</w:t>
      </w:r>
    </w:p>
    <w:p w14:paraId="547A0580">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A893C9D">
      <w:pPr>
        <w:rPr>
          <w:rFonts w:ascii="Times New Roman" w:hAnsi="Times New Roman" w:eastAsia="宋体" w:cs="宋体"/>
          <w:szCs w:val="32"/>
        </w:rPr>
      </w:pPr>
    </w:p>
    <w:p w14:paraId="14F5FC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附件：调整由海南自由贸易港重点园区管理机构在重点园区范围内实施的17项省级管理权"/>
      <w:bookmarkEnd w:id="2"/>
      <w:r>
        <w:rPr>
          <w:rFonts w:hint="eastAsia" w:ascii="Times New Roman" w:hAnsi="Times New Roman" w:eastAsia="仿宋_GB2312" w:cs="仿宋_GB2312"/>
          <w:sz w:val="32"/>
          <w:lang w:val="en-US" w:eastAsia="zh-CN"/>
        </w:rPr>
        <w:t>附件：调整由海南自由贸易港重点园区管理机构在重点园区范围内实施的17项省级管理权限目录</w:t>
      </w:r>
    </w:p>
    <w:p w14:paraId="41672876">
      <w:pPr>
        <w:numPr>
          <w:ilvl w:val="0"/>
          <w:numId w:val="0"/>
        </w:numPr>
        <w:ind w:left="0" w:leftChars="0" w:firstLine="0" w:firstLineChars="0"/>
        <w:rPr>
          <w:rFonts w:hint="eastAsia" w:ascii="Times New Roman" w:hAnsi="Times New Roman" w:eastAsia="黑体" w:cs="黑体"/>
          <w:sz w:val="32"/>
          <w:lang w:val="en-US" w:eastAsia="zh-CN"/>
        </w:rPr>
      </w:pPr>
      <w:bookmarkStart w:id="3" w:name="附件"/>
      <w:bookmarkEnd w:id="3"/>
    </w:p>
    <w:p w14:paraId="553A048E">
      <w:pPr>
        <w:numPr>
          <w:ilvl w:val="0"/>
          <w:numId w:val="0"/>
        </w:numPr>
        <w:ind w:left="0" w:leftChars="0" w:firstLine="0" w:firstLineChars="0"/>
        <w:rPr>
          <w:rFonts w:hint="eastAsia" w:ascii="Times New Roman" w:hAnsi="Times New Roman" w:eastAsia="黑体" w:cs="黑体"/>
          <w:sz w:val="32"/>
          <w:lang w:val="en-US" w:eastAsia="zh-CN"/>
        </w:rPr>
      </w:pPr>
    </w:p>
    <w:p w14:paraId="6751DDEB">
      <w:pPr>
        <w:numPr>
          <w:ilvl w:val="0"/>
          <w:numId w:val="0"/>
        </w:numPr>
        <w:ind w:left="0" w:leftChars="0" w:firstLine="0" w:firstLineChars="0"/>
        <w:rPr>
          <w:rFonts w:hint="eastAsia" w:ascii="Times New Roman" w:hAnsi="Times New Roman" w:eastAsia="黑体" w:cs="黑体"/>
          <w:sz w:val="32"/>
          <w:lang w:val="en-US" w:eastAsia="zh-CN"/>
        </w:rPr>
      </w:pPr>
    </w:p>
    <w:p w14:paraId="237EB357">
      <w:pPr>
        <w:numPr>
          <w:ilvl w:val="0"/>
          <w:numId w:val="0"/>
        </w:numPr>
        <w:ind w:left="0" w:leftChars="0" w:firstLine="0" w:firstLineChars="0"/>
        <w:rPr>
          <w:rFonts w:hint="eastAsia" w:ascii="Times New Roman" w:hAnsi="Times New Roman" w:eastAsia="黑体" w:cs="黑体"/>
          <w:sz w:val="32"/>
          <w:lang w:val="en-US" w:eastAsia="zh-CN"/>
        </w:rPr>
      </w:pPr>
    </w:p>
    <w:p w14:paraId="7421E67B">
      <w:pPr>
        <w:numPr>
          <w:ilvl w:val="0"/>
          <w:numId w:val="0"/>
        </w:numPr>
        <w:ind w:left="0" w:leftChars="0" w:firstLine="0" w:firstLineChars="0"/>
        <w:rPr>
          <w:rFonts w:hint="eastAsia" w:ascii="Times New Roman" w:hAnsi="Times New Roman" w:eastAsia="黑体" w:cs="黑体"/>
          <w:sz w:val="32"/>
          <w:lang w:val="en-US" w:eastAsia="zh-CN"/>
        </w:rPr>
      </w:pPr>
    </w:p>
    <w:p w14:paraId="40357E81">
      <w:pPr>
        <w:numPr>
          <w:ilvl w:val="0"/>
          <w:numId w:val="0"/>
        </w:numPr>
        <w:ind w:left="0" w:leftChars="0" w:firstLine="0" w:firstLineChars="0"/>
        <w:rPr>
          <w:rFonts w:hint="eastAsia" w:ascii="Times New Roman" w:hAnsi="Times New Roman" w:eastAsia="黑体" w:cs="黑体"/>
          <w:sz w:val="32"/>
          <w:lang w:val="en-US" w:eastAsia="zh-CN"/>
        </w:rPr>
      </w:pPr>
    </w:p>
    <w:p w14:paraId="6981D71E">
      <w:pPr>
        <w:numPr>
          <w:ilvl w:val="0"/>
          <w:numId w:val="0"/>
        </w:numPr>
        <w:ind w:left="0" w:leftChars="0" w:firstLine="0" w:firstLineChars="0"/>
        <w:rPr>
          <w:rFonts w:hint="eastAsia" w:ascii="Times New Roman" w:hAnsi="Times New Roman" w:eastAsia="黑体" w:cs="黑体"/>
          <w:sz w:val="32"/>
          <w:lang w:val="en-US" w:eastAsia="zh-CN"/>
        </w:rPr>
      </w:pPr>
    </w:p>
    <w:p w14:paraId="42B83561">
      <w:pPr>
        <w:numPr>
          <w:ilvl w:val="0"/>
          <w:numId w:val="0"/>
        </w:numPr>
        <w:ind w:left="0" w:leftChars="0" w:firstLine="0" w:firstLineChars="0"/>
        <w:rPr>
          <w:rFonts w:hint="eastAsia" w:ascii="Times New Roman" w:hAnsi="Times New Roman" w:eastAsia="黑体" w:cs="黑体"/>
          <w:sz w:val="32"/>
          <w:lang w:val="en-US" w:eastAsia="zh-CN"/>
        </w:rPr>
      </w:pPr>
    </w:p>
    <w:p w14:paraId="4D90BC6A">
      <w:pPr>
        <w:numPr>
          <w:ilvl w:val="0"/>
          <w:numId w:val="0"/>
        </w:numPr>
        <w:ind w:left="0" w:leftChars="0" w:firstLine="0" w:firstLineChars="0"/>
        <w:rPr>
          <w:rFonts w:hint="eastAsia" w:ascii="Times New Roman" w:hAnsi="Times New Roman" w:eastAsia="黑体" w:cs="黑体"/>
          <w:sz w:val="32"/>
          <w:lang w:val="en-US" w:eastAsia="zh-CN"/>
        </w:rPr>
      </w:pPr>
    </w:p>
    <w:p w14:paraId="38A1DE62">
      <w:pPr>
        <w:numPr>
          <w:ilvl w:val="0"/>
          <w:numId w:val="0"/>
        </w:numPr>
        <w:ind w:left="0" w:leftChars="0" w:firstLine="0" w:firstLineChars="0"/>
        <w:rPr>
          <w:rFonts w:hint="eastAsia" w:ascii="Times New Roman" w:hAnsi="Times New Roman" w:eastAsia="黑体" w:cs="黑体"/>
          <w:sz w:val="32"/>
          <w:lang w:val="en-US" w:eastAsia="zh-CN"/>
        </w:rPr>
      </w:pPr>
    </w:p>
    <w:p w14:paraId="2CCE6A93">
      <w:pPr>
        <w:numPr>
          <w:ilvl w:val="0"/>
          <w:numId w:val="0"/>
        </w:numPr>
        <w:ind w:left="0" w:leftChars="0" w:firstLine="0" w:firstLineChars="0"/>
        <w:rPr>
          <w:rFonts w:hint="eastAsia" w:ascii="Times New Roman" w:hAnsi="Times New Roman" w:eastAsia="黑体" w:cs="黑体"/>
          <w:sz w:val="32"/>
          <w:lang w:val="en-US" w:eastAsia="zh-CN"/>
        </w:rPr>
      </w:pPr>
    </w:p>
    <w:p w14:paraId="01250E70">
      <w:pPr>
        <w:numPr>
          <w:ilvl w:val="0"/>
          <w:numId w:val="0"/>
        </w:numPr>
        <w:ind w:left="0" w:leftChars="0" w:firstLine="0" w:firstLineChars="0"/>
        <w:rPr>
          <w:rFonts w:hint="eastAsia" w:ascii="Times New Roman" w:hAnsi="Times New Roman" w:eastAsia="黑体" w:cs="黑体"/>
          <w:sz w:val="32"/>
          <w:lang w:val="en-US" w:eastAsia="zh-CN"/>
        </w:rPr>
      </w:pPr>
    </w:p>
    <w:p w14:paraId="058E760C">
      <w:pPr>
        <w:numPr>
          <w:ilvl w:val="0"/>
          <w:numId w:val="0"/>
        </w:numPr>
        <w:ind w:left="0" w:leftChars="0" w:firstLine="0" w:firstLineChars="0"/>
        <w:rPr>
          <w:rFonts w:hint="eastAsia" w:ascii="Times New Roman" w:hAnsi="Times New Roman" w:eastAsia="黑体" w:cs="黑体"/>
          <w:sz w:val="32"/>
          <w:lang w:val="en-US" w:eastAsia="zh-CN"/>
        </w:rPr>
      </w:pPr>
    </w:p>
    <w:p w14:paraId="00F33F2B">
      <w:pPr>
        <w:numPr>
          <w:ilvl w:val="0"/>
          <w:numId w:val="0"/>
        </w:numPr>
        <w:ind w:left="0" w:leftChars="0" w:firstLine="0" w:firstLineChars="0"/>
        <w:rPr>
          <w:rFonts w:hint="eastAsia" w:ascii="Times New Roman" w:hAnsi="Times New Roman" w:eastAsia="黑体" w:cs="黑体"/>
          <w:sz w:val="32"/>
          <w:lang w:val="en-US" w:eastAsia="zh-CN"/>
        </w:rPr>
      </w:pPr>
    </w:p>
    <w:p w14:paraId="5F95A26A">
      <w:pPr>
        <w:numPr>
          <w:ilvl w:val="0"/>
          <w:numId w:val="0"/>
        </w:numPr>
        <w:ind w:left="0" w:leftChars="0" w:firstLine="0" w:firstLineChars="0"/>
        <w:rPr>
          <w:rFonts w:hint="eastAsia" w:ascii="Times New Roman" w:hAnsi="Times New Roman" w:eastAsia="黑体" w:cs="黑体"/>
          <w:sz w:val="32"/>
          <w:lang w:val="en-US" w:eastAsia="zh-CN"/>
        </w:rPr>
      </w:pPr>
    </w:p>
    <w:p w14:paraId="2E61EBC2">
      <w:pPr>
        <w:numPr>
          <w:ilvl w:val="0"/>
          <w:numId w:val="0"/>
        </w:numPr>
        <w:ind w:left="0" w:leftChars="0" w:firstLine="0" w:firstLineChars="0"/>
        <w:rPr>
          <w:rFonts w:hint="eastAsia" w:ascii="Times New Roman" w:hAnsi="Times New Roman" w:eastAsia="黑体" w:cs="黑体"/>
          <w:sz w:val="32"/>
          <w:lang w:val="en-US" w:eastAsia="zh-CN"/>
        </w:rPr>
      </w:pPr>
      <w:r>
        <w:rPr>
          <w:rFonts w:hint="eastAsia" w:ascii="Times New Roman" w:hAnsi="Times New Roman" w:eastAsia="黑体" w:cs="黑体"/>
          <w:sz w:val="32"/>
          <w:lang w:val="en-US" w:eastAsia="zh-CN"/>
        </w:rPr>
        <w:t>附件</w:t>
      </w:r>
    </w:p>
    <w:p w14:paraId="65DE312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Theme="minorEastAsia" w:hAnsiTheme="minorEastAsia" w:eastAsiaTheme="minorEastAsia" w:cstheme="minorEastAsia"/>
          <w:sz w:val="32"/>
          <w:lang w:val="en-US" w:eastAsia="zh-CN"/>
        </w:rPr>
      </w:pPr>
      <w:bookmarkStart w:id="4" w:name="调整由海南自由贸易港重点园区管理机构在重点园区范围内实施的17项省级管理权限目录"/>
      <w:bookmarkEnd w:id="4"/>
      <w:r>
        <w:rPr>
          <w:rFonts w:hint="eastAsia" w:ascii="方正小标宋简体" w:hAnsi="方正小标宋简体" w:eastAsia="方正小标宋简体" w:cs="方正小标宋简体"/>
          <w:sz w:val="44"/>
          <w:szCs w:val="44"/>
          <w:lang w:val="en-US" w:eastAsia="zh-CN"/>
        </w:rPr>
        <w:t>调整由海南自由贸易港重点园区管理机构在</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重点园区范围内实施的17项省级管理权限目录</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539"/>
        <w:gridCol w:w="1982"/>
        <w:gridCol w:w="1532"/>
        <w:gridCol w:w="3722"/>
        <w:gridCol w:w="1099"/>
      </w:tblGrid>
      <w:tr w14:paraId="0E6CBA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04" w:type="pct"/>
            <w:noWrap w:val="0"/>
            <w:tcMar>
              <w:top w:w="15" w:type="dxa"/>
              <w:left w:w="15" w:type="dxa"/>
              <w:bottom w:w="15" w:type="dxa"/>
              <w:right w:w="15" w:type="dxa"/>
            </w:tcMar>
            <w:vAlign w:val="center"/>
          </w:tcPr>
          <w:p w14:paraId="5F102E91">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序号</w:t>
            </w:r>
          </w:p>
        </w:tc>
        <w:tc>
          <w:tcPr>
            <w:tcW w:w="1116" w:type="pct"/>
            <w:noWrap w:val="0"/>
            <w:tcMar>
              <w:top w:w="15" w:type="dxa"/>
              <w:left w:w="15" w:type="dxa"/>
              <w:bottom w:w="15" w:type="dxa"/>
              <w:right w:w="15" w:type="dxa"/>
            </w:tcMar>
            <w:vAlign w:val="center"/>
          </w:tcPr>
          <w:p w14:paraId="2D262966">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权限名称</w:t>
            </w:r>
          </w:p>
        </w:tc>
        <w:tc>
          <w:tcPr>
            <w:tcW w:w="863" w:type="pct"/>
            <w:noWrap w:val="0"/>
            <w:tcMar>
              <w:top w:w="15" w:type="dxa"/>
              <w:left w:w="15" w:type="dxa"/>
              <w:bottom w:w="15" w:type="dxa"/>
              <w:right w:w="15" w:type="dxa"/>
            </w:tcMar>
            <w:vAlign w:val="center"/>
          </w:tcPr>
          <w:p w14:paraId="7D2052E9">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原实施机关</w:t>
            </w:r>
          </w:p>
        </w:tc>
        <w:tc>
          <w:tcPr>
            <w:tcW w:w="2096" w:type="pct"/>
            <w:noWrap w:val="0"/>
            <w:tcMar>
              <w:top w:w="15" w:type="dxa"/>
              <w:left w:w="15" w:type="dxa"/>
              <w:bottom w:w="15" w:type="dxa"/>
              <w:right w:w="15" w:type="dxa"/>
            </w:tcMar>
            <w:vAlign w:val="center"/>
          </w:tcPr>
          <w:p w14:paraId="75A46D08">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承接园区</w:t>
            </w:r>
          </w:p>
        </w:tc>
        <w:tc>
          <w:tcPr>
            <w:tcW w:w="619" w:type="pct"/>
            <w:noWrap w:val="0"/>
            <w:tcMar>
              <w:top w:w="15" w:type="dxa"/>
              <w:left w:w="15" w:type="dxa"/>
              <w:bottom w:w="15" w:type="dxa"/>
              <w:right w:w="15" w:type="dxa"/>
            </w:tcMar>
            <w:vAlign w:val="center"/>
          </w:tcPr>
          <w:p w14:paraId="06B1BB3B">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调整方式</w:t>
            </w:r>
          </w:p>
        </w:tc>
      </w:tr>
      <w:tr w14:paraId="32B55F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4A4490EE">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w:t>
            </w:r>
          </w:p>
        </w:tc>
        <w:tc>
          <w:tcPr>
            <w:tcW w:w="1116" w:type="pct"/>
            <w:noWrap w:val="0"/>
            <w:tcMar>
              <w:top w:w="15" w:type="dxa"/>
              <w:left w:w="15" w:type="dxa"/>
              <w:bottom w:w="15" w:type="dxa"/>
              <w:right w:w="15" w:type="dxa"/>
            </w:tcMar>
            <w:vAlign w:val="center"/>
          </w:tcPr>
          <w:p w14:paraId="5C97DB3D">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旅行社设立审批</w:t>
            </w:r>
          </w:p>
        </w:tc>
        <w:tc>
          <w:tcPr>
            <w:tcW w:w="863" w:type="pct"/>
            <w:noWrap w:val="0"/>
            <w:tcMar>
              <w:top w:w="15" w:type="dxa"/>
              <w:left w:w="15" w:type="dxa"/>
              <w:bottom w:w="15" w:type="dxa"/>
              <w:right w:w="15" w:type="dxa"/>
            </w:tcMar>
            <w:vAlign w:val="center"/>
          </w:tcPr>
          <w:p w14:paraId="6822C575">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2096" w:type="pct"/>
            <w:noWrap w:val="0"/>
            <w:tcMar>
              <w:top w:w="15" w:type="dxa"/>
              <w:left w:w="15" w:type="dxa"/>
              <w:bottom w:w="15" w:type="dxa"/>
              <w:right w:w="15" w:type="dxa"/>
            </w:tcMar>
            <w:vAlign w:val="center"/>
          </w:tcPr>
          <w:p w14:paraId="5D32D458">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海口江东新区、海口国家高新技术产业开发区、博鳌乐城国际医疗旅游先行区、文昌国际航天城、陵水黎安国际教育创新试验区</w:t>
            </w:r>
          </w:p>
        </w:tc>
        <w:tc>
          <w:tcPr>
            <w:tcW w:w="619" w:type="pct"/>
            <w:noWrap w:val="0"/>
            <w:tcMar>
              <w:top w:w="15" w:type="dxa"/>
              <w:left w:w="15" w:type="dxa"/>
              <w:bottom w:w="15" w:type="dxa"/>
              <w:right w:w="15" w:type="dxa"/>
            </w:tcMar>
            <w:vAlign w:val="center"/>
          </w:tcPr>
          <w:p w14:paraId="6AD67B19">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40DBAB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0C6FC7C4">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2</w:t>
            </w:r>
          </w:p>
        </w:tc>
        <w:tc>
          <w:tcPr>
            <w:tcW w:w="1116" w:type="pct"/>
            <w:noWrap w:val="0"/>
            <w:tcMar>
              <w:top w:w="15" w:type="dxa"/>
              <w:left w:w="15" w:type="dxa"/>
              <w:bottom w:w="15" w:type="dxa"/>
              <w:right w:w="15" w:type="dxa"/>
            </w:tcMar>
            <w:vAlign w:val="center"/>
          </w:tcPr>
          <w:p w14:paraId="67DBA043">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外商投资旅行社业务许可</w:t>
            </w:r>
          </w:p>
        </w:tc>
        <w:tc>
          <w:tcPr>
            <w:tcW w:w="863" w:type="pct"/>
            <w:noWrap w:val="0"/>
            <w:tcMar>
              <w:top w:w="15" w:type="dxa"/>
              <w:left w:w="15" w:type="dxa"/>
              <w:bottom w:w="15" w:type="dxa"/>
              <w:right w:w="15" w:type="dxa"/>
            </w:tcMar>
            <w:vAlign w:val="center"/>
          </w:tcPr>
          <w:p w14:paraId="449FFE05">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2096" w:type="pct"/>
            <w:noWrap w:val="0"/>
            <w:tcMar>
              <w:top w:w="15" w:type="dxa"/>
              <w:left w:w="15" w:type="dxa"/>
              <w:bottom w:w="15" w:type="dxa"/>
              <w:right w:w="15" w:type="dxa"/>
            </w:tcMar>
            <w:vAlign w:val="center"/>
          </w:tcPr>
          <w:p w14:paraId="2D22BBCB">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海口江东新区、海口国家高新技术产业开发区、博鳌乐城国际医疗旅游先行区、文昌国际航天城、陵水黎安国际教育创新试验区</w:t>
            </w:r>
          </w:p>
        </w:tc>
        <w:tc>
          <w:tcPr>
            <w:tcW w:w="619" w:type="pct"/>
            <w:noWrap w:val="0"/>
            <w:tcMar>
              <w:top w:w="15" w:type="dxa"/>
              <w:left w:w="15" w:type="dxa"/>
              <w:bottom w:w="15" w:type="dxa"/>
              <w:right w:w="15" w:type="dxa"/>
            </w:tcMar>
            <w:vAlign w:val="center"/>
          </w:tcPr>
          <w:p w14:paraId="01308857">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334FDF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6AA432CB">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w:t>
            </w:r>
          </w:p>
        </w:tc>
        <w:tc>
          <w:tcPr>
            <w:tcW w:w="1116" w:type="pct"/>
            <w:noWrap w:val="0"/>
            <w:tcMar>
              <w:top w:w="15" w:type="dxa"/>
              <w:left w:w="15" w:type="dxa"/>
              <w:bottom w:w="15" w:type="dxa"/>
              <w:right w:w="15" w:type="dxa"/>
            </w:tcMar>
            <w:vAlign w:val="center"/>
          </w:tcPr>
          <w:p w14:paraId="6CD9EC90">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旅行社业务经营许可证毁损换发、遗失补发</w:t>
            </w:r>
          </w:p>
        </w:tc>
        <w:tc>
          <w:tcPr>
            <w:tcW w:w="863" w:type="pct"/>
            <w:noWrap w:val="0"/>
            <w:tcMar>
              <w:top w:w="15" w:type="dxa"/>
              <w:left w:w="15" w:type="dxa"/>
              <w:bottom w:w="15" w:type="dxa"/>
              <w:right w:w="15" w:type="dxa"/>
            </w:tcMar>
            <w:vAlign w:val="center"/>
          </w:tcPr>
          <w:p w14:paraId="180234A6">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2096" w:type="pct"/>
            <w:noWrap w:val="0"/>
            <w:tcMar>
              <w:top w:w="15" w:type="dxa"/>
              <w:left w:w="15" w:type="dxa"/>
              <w:bottom w:w="15" w:type="dxa"/>
              <w:right w:w="15" w:type="dxa"/>
            </w:tcMar>
            <w:vAlign w:val="center"/>
          </w:tcPr>
          <w:p w14:paraId="20963804">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海口江东新区、海口国家高新技术产业开发区、博鳌乐城国际医疗旅游先行区、文昌国际航天城、陵水黎安国际教育创新试验区</w:t>
            </w:r>
          </w:p>
        </w:tc>
        <w:tc>
          <w:tcPr>
            <w:tcW w:w="619" w:type="pct"/>
            <w:noWrap w:val="0"/>
            <w:tcMar>
              <w:top w:w="15" w:type="dxa"/>
              <w:left w:w="15" w:type="dxa"/>
              <w:bottom w:w="15" w:type="dxa"/>
              <w:right w:w="15" w:type="dxa"/>
            </w:tcMar>
            <w:vAlign w:val="center"/>
          </w:tcPr>
          <w:p w14:paraId="39797F4C">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58BEBD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3ED90273">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4</w:t>
            </w:r>
          </w:p>
        </w:tc>
        <w:tc>
          <w:tcPr>
            <w:tcW w:w="1116" w:type="pct"/>
            <w:noWrap w:val="0"/>
            <w:tcMar>
              <w:top w:w="15" w:type="dxa"/>
              <w:left w:w="15" w:type="dxa"/>
              <w:bottom w:w="15" w:type="dxa"/>
              <w:right w:w="15" w:type="dxa"/>
            </w:tcMar>
            <w:vAlign w:val="center"/>
          </w:tcPr>
          <w:p w14:paraId="3454F463">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旅行社登记事项变更备案（含名称、经营场所、法定代表人、出资人变更）</w:t>
            </w:r>
          </w:p>
        </w:tc>
        <w:tc>
          <w:tcPr>
            <w:tcW w:w="863" w:type="pct"/>
            <w:noWrap w:val="0"/>
            <w:tcMar>
              <w:top w:w="15" w:type="dxa"/>
              <w:left w:w="15" w:type="dxa"/>
              <w:bottom w:w="15" w:type="dxa"/>
              <w:right w:w="15" w:type="dxa"/>
            </w:tcMar>
            <w:vAlign w:val="center"/>
          </w:tcPr>
          <w:p w14:paraId="34F68F4F">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2096" w:type="pct"/>
            <w:noWrap w:val="0"/>
            <w:tcMar>
              <w:top w:w="15" w:type="dxa"/>
              <w:left w:w="15" w:type="dxa"/>
              <w:bottom w:w="15" w:type="dxa"/>
              <w:right w:w="15" w:type="dxa"/>
            </w:tcMar>
            <w:vAlign w:val="center"/>
          </w:tcPr>
          <w:p w14:paraId="74B49E13">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海口江东新区、海口国家高新技术产业开发区、博鳌乐城国际医疗旅游先行区、文昌国际航天城、陵水黎安国际教育创新试验区</w:t>
            </w:r>
          </w:p>
        </w:tc>
        <w:tc>
          <w:tcPr>
            <w:tcW w:w="619" w:type="pct"/>
            <w:noWrap w:val="0"/>
            <w:tcMar>
              <w:top w:w="15" w:type="dxa"/>
              <w:left w:w="15" w:type="dxa"/>
              <w:bottom w:w="15" w:type="dxa"/>
              <w:right w:w="15" w:type="dxa"/>
            </w:tcMar>
            <w:vAlign w:val="center"/>
          </w:tcPr>
          <w:p w14:paraId="306F3747">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59FB7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3CC41CD4">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5</w:t>
            </w:r>
          </w:p>
        </w:tc>
        <w:tc>
          <w:tcPr>
            <w:tcW w:w="1116" w:type="pct"/>
            <w:noWrap w:val="0"/>
            <w:tcMar>
              <w:top w:w="15" w:type="dxa"/>
              <w:left w:w="15" w:type="dxa"/>
              <w:bottom w:w="15" w:type="dxa"/>
              <w:right w:w="15" w:type="dxa"/>
            </w:tcMar>
            <w:vAlign w:val="center"/>
          </w:tcPr>
          <w:p w14:paraId="44122CB1">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旅行社终止经营备案</w:t>
            </w:r>
          </w:p>
        </w:tc>
        <w:tc>
          <w:tcPr>
            <w:tcW w:w="863" w:type="pct"/>
            <w:noWrap w:val="0"/>
            <w:tcMar>
              <w:top w:w="15" w:type="dxa"/>
              <w:left w:w="15" w:type="dxa"/>
              <w:bottom w:w="15" w:type="dxa"/>
              <w:right w:w="15" w:type="dxa"/>
            </w:tcMar>
            <w:vAlign w:val="center"/>
          </w:tcPr>
          <w:p w14:paraId="76A4B8DF">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2096" w:type="pct"/>
            <w:noWrap w:val="0"/>
            <w:tcMar>
              <w:top w:w="15" w:type="dxa"/>
              <w:left w:w="15" w:type="dxa"/>
              <w:bottom w:w="15" w:type="dxa"/>
              <w:right w:w="15" w:type="dxa"/>
            </w:tcMar>
            <w:vAlign w:val="center"/>
          </w:tcPr>
          <w:p w14:paraId="6F6A5F1C">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海口江东新区、海口国家高新技术产业开发区、博鳌乐城国际医疗旅游先行区、文昌国际航天城、陵水黎安国际教育创新试验区</w:t>
            </w:r>
          </w:p>
        </w:tc>
        <w:tc>
          <w:tcPr>
            <w:tcW w:w="619" w:type="pct"/>
            <w:noWrap w:val="0"/>
            <w:tcMar>
              <w:top w:w="15" w:type="dxa"/>
              <w:left w:w="15" w:type="dxa"/>
              <w:bottom w:w="15" w:type="dxa"/>
              <w:right w:w="15" w:type="dxa"/>
            </w:tcMar>
            <w:vAlign w:val="center"/>
          </w:tcPr>
          <w:p w14:paraId="121BCEAA">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63BFE5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33F91DA">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6</w:t>
            </w:r>
          </w:p>
        </w:tc>
        <w:tc>
          <w:tcPr>
            <w:tcW w:w="1116" w:type="pct"/>
            <w:noWrap w:val="0"/>
            <w:tcMar>
              <w:top w:w="15" w:type="dxa"/>
              <w:left w:w="15" w:type="dxa"/>
              <w:bottom w:w="15" w:type="dxa"/>
              <w:right w:w="15" w:type="dxa"/>
            </w:tcMar>
            <w:vAlign w:val="center"/>
          </w:tcPr>
          <w:p w14:paraId="3FDAAED7">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导游证核发（含换发、补发）</w:t>
            </w:r>
          </w:p>
        </w:tc>
        <w:tc>
          <w:tcPr>
            <w:tcW w:w="863" w:type="pct"/>
            <w:noWrap w:val="0"/>
            <w:tcMar>
              <w:top w:w="15" w:type="dxa"/>
              <w:left w:w="15" w:type="dxa"/>
              <w:bottom w:w="15" w:type="dxa"/>
              <w:right w:w="15" w:type="dxa"/>
            </w:tcMar>
            <w:vAlign w:val="center"/>
          </w:tcPr>
          <w:p w14:paraId="73CF8656">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2096" w:type="pct"/>
            <w:noWrap w:val="0"/>
            <w:tcMar>
              <w:top w:w="15" w:type="dxa"/>
              <w:left w:w="15" w:type="dxa"/>
              <w:bottom w:w="15" w:type="dxa"/>
              <w:right w:w="15" w:type="dxa"/>
            </w:tcMar>
            <w:vAlign w:val="center"/>
          </w:tcPr>
          <w:p w14:paraId="75B9620B">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海口江东新区、海口国家高新技术产业开发区、博鳌乐城国际医疗旅游先行区、文昌国际航天城、陵水黎安国际教育创新试验区</w:t>
            </w:r>
          </w:p>
        </w:tc>
        <w:tc>
          <w:tcPr>
            <w:tcW w:w="619" w:type="pct"/>
            <w:noWrap w:val="0"/>
            <w:tcMar>
              <w:top w:w="15" w:type="dxa"/>
              <w:left w:w="15" w:type="dxa"/>
              <w:bottom w:w="15" w:type="dxa"/>
              <w:right w:w="15" w:type="dxa"/>
            </w:tcMar>
            <w:vAlign w:val="center"/>
          </w:tcPr>
          <w:p w14:paraId="3E40FF12">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7CBAF57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2617DE71">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7</w:t>
            </w:r>
          </w:p>
        </w:tc>
        <w:tc>
          <w:tcPr>
            <w:tcW w:w="1116" w:type="pct"/>
            <w:noWrap w:val="0"/>
            <w:tcMar>
              <w:top w:w="15" w:type="dxa"/>
              <w:left w:w="15" w:type="dxa"/>
              <w:bottom w:w="15" w:type="dxa"/>
              <w:right w:w="15" w:type="dxa"/>
            </w:tcMar>
            <w:vAlign w:val="center"/>
          </w:tcPr>
          <w:p w14:paraId="325C1BF0">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导游员调动所属单位变更备案</w:t>
            </w:r>
          </w:p>
        </w:tc>
        <w:tc>
          <w:tcPr>
            <w:tcW w:w="863" w:type="pct"/>
            <w:noWrap w:val="0"/>
            <w:tcMar>
              <w:top w:w="15" w:type="dxa"/>
              <w:left w:w="15" w:type="dxa"/>
              <w:bottom w:w="15" w:type="dxa"/>
              <w:right w:w="15" w:type="dxa"/>
            </w:tcMar>
            <w:vAlign w:val="center"/>
          </w:tcPr>
          <w:p w14:paraId="6CD59C7F">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2096" w:type="pct"/>
            <w:noWrap w:val="0"/>
            <w:tcMar>
              <w:top w:w="15" w:type="dxa"/>
              <w:left w:w="15" w:type="dxa"/>
              <w:bottom w:w="15" w:type="dxa"/>
              <w:right w:w="15" w:type="dxa"/>
            </w:tcMar>
            <w:vAlign w:val="center"/>
          </w:tcPr>
          <w:p w14:paraId="21ACD5A4">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海口江东新区、海口国家高新技术产业开发区、博鳌乐城国际医疗旅游先行区、文昌国际航天城、陵水黎安国际教育创新试验区</w:t>
            </w:r>
          </w:p>
        </w:tc>
        <w:tc>
          <w:tcPr>
            <w:tcW w:w="619" w:type="pct"/>
            <w:noWrap w:val="0"/>
            <w:tcMar>
              <w:top w:w="15" w:type="dxa"/>
              <w:left w:w="15" w:type="dxa"/>
              <w:bottom w:w="15" w:type="dxa"/>
              <w:right w:w="15" w:type="dxa"/>
            </w:tcMar>
            <w:vAlign w:val="center"/>
          </w:tcPr>
          <w:p w14:paraId="4E91222A">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0A9BD1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321AA798">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8</w:t>
            </w:r>
          </w:p>
        </w:tc>
        <w:tc>
          <w:tcPr>
            <w:tcW w:w="1116" w:type="pct"/>
            <w:noWrap w:val="0"/>
            <w:tcMar>
              <w:top w:w="15" w:type="dxa"/>
              <w:left w:w="15" w:type="dxa"/>
              <w:bottom w:w="15" w:type="dxa"/>
              <w:right w:w="15" w:type="dxa"/>
            </w:tcMar>
            <w:vAlign w:val="center"/>
          </w:tcPr>
          <w:p w14:paraId="75B7510B">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演出经纪机构从事营业性演出经营活动审批（含设立、延续、变更）</w:t>
            </w:r>
          </w:p>
        </w:tc>
        <w:tc>
          <w:tcPr>
            <w:tcW w:w="863" w:type="pct"/>
            <w:noWrap w:val="0"/>
            <w:tcMar>
              <w:top w:w="15" w:type="dxa"/>
              <w:left w:w="15" w:type="dxa"/>
              <w:bottom w:w="15" w:type="dxa"/>
              <w:right w:w="15" w:type="dxa"/>
            </w:tcMar>
            <w:vAlign w:val="center"/>
          </w:tcPr>
          <w:p w14:paraId="63EB9DAC">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2096" w:type="pct"/>
            <w:noWrap w:val="0"/>
            <w:tcMar>
              <w:top w:w="15" w:type="dxa"/>
              <w:left w:w="15" w:type="dxa"/>
              <w:bottom w:w="15" w:type="dxa"/>
              <w:right w:w="15" w:type="dxa"/>
            </w:tcMar>
            <w:vAlign w:val="center"/>
          </w:tcPr>
          <w:p w14:paraId="125601B2">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海口国家高新技术产业开发区、三亚中央商务区、海南生态软件园、文昌国际航天城、陵水黎安国际教育创新试验区</w:t>
            </w:r>
          </w:p>
        </w:tc>
        <w:tc>
          <w:tcPr>
            <w:tcW w:w="619" w:type="pct"/>
            <w:noWrap w:val="0"/>
            <w:tcMar>
              <w:top w:w="15" w:type="dxa"/>
              <w:left w:w="15" w:type="dxa"/>
              <w:bottom w:w="15" w:type="dxa"/>
              <w:right w:w="15" w:type="dxa"/>
            </w:tcMar>
            <w:vAlign w:val="center"/>
          </w:tcPr>
          <w:p w14:paraId="3ABB2E37">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266DB3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338DDBFB">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9</w:t>
            </w:r>
          </w:p>
        </w:tc>
        <w:tc>
          <w:tcPr>
            <w:tcW w:w="1116" w:type="pct"/>
            <w:noWrap w:val="0"/>
            <w:tcMar>
              <w:top w:w="15" w:type="dxa"/>
              <w:left w:w="15" w:type="dxa"/>
              <w:bottom w:w="15" w:type="dxa"/>
              <w:right w:w="15" w:type="dxa"/>
            </w:tcMar>
            <w:vAlign w:val="center"/>
          </w:tcPr>
          <w:p w14:paraId="53A1CE0A">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降低旅游服务质量保证金资格确认</w:t>
            </w:r>
          </w:p>
        </w:tc>
        <w:tc>
          <w:tcPr>
            <w:tcW w:w="863" w:type="pct"/>
            <w:noWrap w:val="0"/>
            <w:tcMar>
              <w:top w:w="15" w:type="dxa"/>
              <w:left w:w="15" w:type="dxa"/>
              <w:bottom w:w="15" w:type="dxa"/>
              <w:right w:w="15" w:type="dxa"/>
            </w:tcMar>
            <w:vAlign w:val="center"/>
          </w:tcPr>
          <w:p w14:paraId="009E5248">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2096" w:type="pct"/>
            <w:noWrap w:val="0"/>
            <w:tcMar>
              <w:top w:w="15" w:type="dxa"/>
              <w:left w:w="15" w:type="dxa"/>
              <w:bottom w:w="15" w:type="dxa"/>
              <w:right w:w="15" w:type="dxa"/>
            </w:tcMar>
            <w:vAlign w:val="center"/>
          </w:tcPr>
          <w:p w14:paraId="2E2CC81A">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海口江东新区、海口国家高新技术产业开发区、博鳌乐城国际医疗旅游先行区、文昌国际航天城、陵水黎安国际教育创新试验区</w:t>
            </w:r>
          </w:p>
        </w:tc>
        <w:tc>
          <w:tcPr>
            <w:tcW w:w="619" w:type="pct"/>
            <w:noWrap w:val="0"/>
            <w:tcMar>
              <w:top w:w="15" w:type="dxa"/>
              <w:left w:w="15" w:type="dxa"/>
              <w:bottom w:w="15" w:type="dxa"/>
              <w:right w:w="15" w:type="dxa"/>
            </w:tcMar>
            <w:vAlign w:val="center"/>
          </w:tcPr>
          <w:p w14:paraId="03F58EAF">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24E99E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4F3CD680">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10</w:t>
            </w:r>
          </w:p>
        </w:tc>
        <w:tc>
          <w:tcPr>
            <w:tcW w:w="1116" w:type="pct"/>
            <w:noWrap w:val="0"/>
            <w:tcMar>
              <w:top w:w="15" w:type="dxa"/>
              <w:left w:w="15" w:type="dxa"/>
              <w:bottom w:w="15" w:type="dxa"/>
              <w:right w:w="15" w:type="dxa"/>
            </w:tcMar>
            <w:vAlign w:val="center"/>
          </w:tcPr>
          <w:p w14:paraId="3751C51A">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医疗机构执业登记审批（不含互联网医院）</w:t>
            </w:r>
          </w:p>
        </w:tc>
        <w:tc>
          <w:tcPr>
            <w:tcW w:w="863" w:type="pct"/>
            <w:noWrap w:val="0"/>
            <w:tcMar>
              <w:top w:w="15" w:type="dxa"/>
              <w:left w:w="15" w:type="dxa"/>
              <w:bottom w:w="15" w:type="dxa"/>
              <w:right w:w="15" w:type="dxa"/>
            </w:tcMar>
            <w:vAlign w:val="center"/>
          </w:tcPr>
          <w:p w14:paraId="1AFF2380">
            <w:pPr>
              <w:widowControl/>
              <w:spacing w:after="240"/>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省卫生健康委员会</w:t>
            </w:r>
          </w:p>
        </w:tc>
        <w:tc>
          <w:tcPr>
            <w:tcW w:w="2096" w:type="pct"/>
            <w:noWrap w:val="0"/>
            <w:tcMar>
              <w:top w:w="15" w:type="dxa"/>
              <w:left w:w="15" w:type="dxa"/>
              <w:bottom w:w="15" w:type="dxa"/>
              <w:right w:w="15" w:type="dxa"/>
            </w:tcMar>
            <w:vAlign w:val="center"/>
          </w:tcPr>
          <w:p w14:paraId="34ACB685">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博鳌乐城国际医疗旅游先行区</w:t>
            </w:r>
          </w:p>
        </w:tc>
        <w:tc>
          <w:tcPr>
            <w:tcW w:w="619" w:type="pct"/>
            <w:noWrap w:val="0"/>
            <w:tcMar>
              <w:top w:w="15" w:type="dxa"/>
              <w:left w:w="15" w:type="dxa"/>
              <w:bottom w:w="15" w:type="dxa"/>
              <w:right w:w="15" w:type="dxa"/>
            </w:tcMar>
            <w:vAlign w:val="center"/>
          </w:tcPr>
          <w:p w14:paraId="5D542BA2">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69C6C6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4FABB9EF">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11</w:t>
            </w:r>
          </w:p>
        </w:tc>
        <w:tc>
          <w:tcPr>
            <w:tcW w:w="1116" w:type="pct"/>
            <w:noWrap w:val="0"/>
            <w:tcMar>
              <w:top w:w="15" w:type="dxa"/>
              <w:left w:w="15" w:type="dxa"/>
              <w:bottom w:w="15" w:type="dxa"/>
              <w:right w:w="15" w:type="dxa"/>
            </w:tcMar>
            <w:vAlign w:val="center"/>
          </w:tcPr>
          <w:p w14:paraId="7A823F46">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社会办医疗机构甲类大型医用设备配置许可</w:t>
            </w:r>
          </w:p>
        </w:tc>
        <w:tc>
          <w:tcPr>
            <w:tcW w:w="863" w:type="pct"/>
            <w:noWrap w:val="0"/>
            <w:tcMar>
              <w:top w:w="15" w:type="dxa"/>
              <w:left w:w="15" w:type="dxa"/>
              <w:bottom w:w="15" w:type="dxa"/>
              <w:right w:w="15" w:type="dxa"/>
            </w:tcMar>
            <w:vAlign w:val="center"/>
          </w:tcPr>
          <w:p w14:paraId="518AC480">
            <w:pPr>
              <w:widowControl/>
              <w:spacing w:after="240"/>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省卫生健康委员会</w:t>
            </w:r>
          </w:p>
        </w:tc>
        <w:tc>
          <w:tcPr>
            <w:tcW w:w="2096" w:type="pct"/>
            <w:noWrap w:val="0"/>
            <w:tcMar>
              <w:top w:w="15" w:type="dxa"/>
              <w:left w:w="15" w:type="dxa"/>
              <w:bottom w:w="15" w:type="dxa"/>
              <w:right w:w="15" w:type="dxa"/>
            </w:tcMar>
            <w:vAlign w:val="center"/>
          </w:tcPr>
          <w:p w14:paraId="41FFBD20">
            <w:pPr>
              <w:widowControl/>
              <w:jc w:val="left"/>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博鳌乐城国际医疗旅游先行区</w:t>
            </w:r>
          </w:p>
        </w:tc>
        <w:tc>
          <w:tcPr>
            <w:tcW w:w="619" w:type="pct"/>
            <w:noWrap w:val="0"/>
            <w:tcMar>
              <w:top w:w="15" w:type="dxa"/>
              <w:left w:w="15" w:type="dxa"/>
              <w:bottom w:w="15" w:type="dxa"/>
              <w:right w:w="15" w:type="dxa"/>
            </w:tcMar>
            <w:vAlign w:val="center"/>
          </w:tcPr>
          <w:p w14:paraId="0C307CEB">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委托</w:t>
            </w:r>
          </w:p>
        </w:tc>
      </w:tr>
      <w:tr w14:paraId="6CFE56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06EB9B6">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12</w:t>
            </w:r>
          </w:p>
        </w:tc>
        <w:tc>
          <w:tcPr>
            <w:tcW w:w="1116" w:type="pct"/>
            <w:noWrap w:val="0"/>
            <w:tcMar>
              <w:top w:w="15" w:type="dxa"/>
              <w:left w:w="15" w:type="dxa"/>
              <w:bottom w:w="15" w:type="dxa"/>
              <w:right w:w="15" w:type="dxa"/>
            </w:tcMar>
            <w:vAlign w:val="center"/>
          </w:tcPr>
          <w:p w14:paraId="1835FC3D">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社会办医疗机构配置乙类大型医用设备备案</w:t>
            </w:r>
          </w:p>
        </w:tc>
        <w:tc>
          <w:tcPr>
            <w:tcW w:w="863" w:type="pct"/>
            <w:noWrap w:val="0"/>
            <w:tcMar>
              <w:top w:w="15" w:type="dxa"/>
              <w:left w:w="15" w:type="dxa"/>
              <w:bottom w:w="15" w:type="dxa"/>
              <w:right w:w="15" w:type="dxa"/>
            </w:tcMar>
            <w:vAlign w:val="center"/>
          </w:tcPr>
          <w:p w14:paraId="6EFAFEC5">
            <w:pPr>
              <w:widowControl/>
              <w:spacing w:after="240"/>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省卫生健康委员会</w:t>
            </w:r>
          </w:p>
        </w:tc>
        <w:tc>
          <w:tcPr>
            <w:tcW w:w="2096" w:type="pct"/>
            <w:noWrap w:val="0"/>
            <w:tcMar>
              <w:top w:w="15" w:type="dxa"/>
              <w:left w:w="15" w:type="dxa"/>
              <w:bottom w:w="15" w:type="dxa"/>
              <w:right w:w="15" w:type="dxa"/>
            </w:tcMar>
            <w:vAlign w:val="center"/>
          </w:tcPr>
          <w:p w14:paraId="1BCB48B1">
            <w:pPr>
              <w:widowControl/>
              <w:jc w:val="left"/>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博鳌乐城国际医疗旅游先行区、海南生态软件园</w:t>
            </w:r>
          </w:p>
        </w:tc>
        <w:tc>
          <w:tcPr>
            <w:tcW w:w="619" w:type="pct"/>
            <w:noWrap w:val="0"/>
            <w:tcMar>
              <w:top w:w="15" w:type="dxa"/>
              <w:left w:w="15" w:type="dxa"/>
              <w:bottom w:w="15" w:type="dxa"/>
              <w:right w:w="15" w:type="dxa"/>
            </w:tcMar>
            <w:vAlign w:val="center"/>
          </w:tcPr>
          <w:p w14:paraId="1DC08E20">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579CB5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030C8B91">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13</w:t>
            </w:r>
          </w:p>
        </w:tc>
        <w:tc>
          <w:tcPr>
            <w:tcW w:w="1116" w:type="pct"/>
            <w:noWrap w:val="0"/>
            <w:tcMar>
              <w:top w:w="15" w:type="dxa"/>
              <w:left w:w="15" w:type="dxa"/>
              <w:bottom w:w="15" w:type="dxa"/>
              <w:right w:w="15" w:type="dxa"/>
            </w:tcMar>
            <w:vAlign w:val="center"/>
          </w:tcPr>
          <w:p w14:paraId="7790BECE">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外国人野外考察国家重点保护野生植物审批</w:t>
            </w:r>
          </w:p>
        </w:tc>
        <w:tc>
          <w:tcPr>
            <w:tcW w:w="863" w:type="pct"/>
            <w:noWrap w:val="0"/>
            <w:tcMar>
              <w:top w:w="15" w:type="dxa"/>
              <w:left w:w="15" w:type="dxa"/>
              <w:bottom w:w="15" w:type="dxa"/>
              <w:right w:w="15" w:type="dxa"/>
            </w:tcMar>
            <w:vAlign w:val="center"/>
          </w:tcPr>
          <w:p w14:paraId="27BA3AAA">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省农业农村厅</w:t>
            </w:r>
          </w:p>
        </w:tc>
        <w:tc>
          <w:tcPr>
            <w:tcW w:w="2096" w:type="pct"/>
            <w:noWrap w:val="0"/>
            <w:tcMar>
              <w:top w:w="15" w:type="dxa"/>
              <w:left w:w="15" w:type="dxa"/>
              <w:bottom w:w="15" w:type="dxa"/>
              <w:right w:w="15" w:type="dxa"/>
            </w:tcMar>
            <w:vAlign w:val="center"/>
          </w:tcPr>
          <w:p w14:paraId="7E657FDC">
            <w:pPr>
              <w:widowControl/>
              <w:jc w:val="left"/>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三亚崖州湾科技城</w:t>
            </w:r>
          </w:p>
        </w:tc>
        <w:tc>
          <w:tcPr>
            <w:tcW w:w="619" w:type="pct"/>
            <w:noWrap w:val="0"/>
            <w:tcMar>
              <w:top w:w="15" w:type="dxa"/>
              <w:left w:w="15" w:type="dxa"/>
              <w:bottom w:w="15" w:type="dxa"/>
              <w:right w:w="15" w:type="dxa"/>
            </w:tcMar>
            <w:vAlign w:val="center"/>
          </w:tcPr>
          <w:p w14:paraId="15275959">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委托</w:t>
            </w:r>
          </w:p>
        </w:tc>
      </w:tr>
      <w:tr w14:paraId="0A209B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11A3122D">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14</w:t>
            </w:r>
          </w:p>
        </w:tc>
        <w:tc>
          <w:tcPr>
            <w:tcW w:w="1116" w:type="pct"/>
            <w:noWrap w:val="0"/>
            <w:tcMar>
              <w:top w:w="15" w:type="dxa"/>
              <w:left w:w="15" w:type="dxa"/>
              <w:bottom w:w="15" w:type="dxa"/>
              <w:right w:w="15" w:type="dxa"/>
            </w:tcMar>
            <w:vAlign w:val="center"/>
          </w:tcPr>
          <w:p w14:paraId="478B1E7D">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民办普通高中、民办中等职业学校以捐赠者姓名或者名称作为校名的审批</w:t>
            </w:r>
          </w:p>
        </w:tc>
        <w:tc>
          <w:tcPr>
            <w:tcW w:w="863" w:type="pct"/>
            <w:noWrap w:val="0"/>
            <w:tcMar>
              <w:top w:w="15" w:type="dxa"/>
              <w:left w:w="15" w:type="dxa"/>
              <w:bottom w:w="15" w:type="dxa"/>
              <w:right w:w="15" w:type="dxa"/>
            </w:tcMar>
            <w:vAlign w:val="center"/>
          </w:tcPr>
          <w:p w14:paraId="3B9F0889">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省教育厅</w:t>
            </w:r>
          </w:p>
        </w:tc>
        <w:tc>
          <w:tcPr>
            <w:tcW w:w="2096" w:type="pct"/>
            <w:noWrap w:val="0"/>
            <w:tcMar>
              <w:top w:w="15" w:type="dxa"/>
              <w:left w:w="15" w:type="dxa"/>
              <w:bottom w:w="15" w:type="dxa"/>
              <w:right w:w="15" w:type="dxa"/>
            </w:tcMar>
            <w:vAlign w:val="center"/>
          </w:tcPr>
          <w:p w14:paraId="36A33537">
            <w:pPr>
              <w:widowControl/>
              <w:jc w:val="left"/>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洋浦经济开发区、海口江东新区</w:t>
            </w:r>
          </w:p>
        </w:tc>
        <w:tc>
          <w:tcPr>
            <w:tcW w:w="619" w:type="pct"/>
            <w:noWrap w:val="0"/>
            <w:tcMar>
              <w:top w:w="15" w:type="dxa"/>
              <w:left w:w="15" w:type="dxa"/>
              <w:bottom w:w="15" w:type="dxa"/>
              <w:right w:w="15" w:type="dxa"/>
            </w:tcMar>
            <w:vAlign w:val="center"/>
          </w:tcPr>
          <w:p w14:paraId="0BEBCADE">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6D8B37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51A7EC92">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15</w:t>
            </w:r>
          </w:p>
        </w:tc>
        <w:tc>
          <w:tcPr>
            <w:tcW w:w="1116" w:type="pct"/>
            <w:noWrap w:val="0"/>
            <w:tcMar>
              <w:top w:w="15" w:type="dxa"/>
              <w:left w:w="15" w:type="dxa"/>
              <w:bottom w:w="15" w:type="dxa"/>
              <w:right w:w="15" w:type="dxa"/>
            </w:tcMar>
            <w:vAlign w:val="center"/>
          </w:tcPr>
          <w:p w14:paraId="21F43B8A">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设立普通技工学校、高级技工学校审批</w:t>
            </w:r>
          </w:p>
        </w:tc>
        <w:tc>
          <w:tcPr>
            <w:tcW w:w="863" w:type="pct"/>
            <w:noWrap w:val="0"/>
            <w:tcMar>
              <w:top w:w="15" w:type="dxa"/>
              <w:left w:w="15" w:type="dxa"/>
              <w:bottom w:w="15" w:type="dxa"/>
              <w:right w:w="15" w:type="dxa"/>
            </w:tcMar>
            <w:vAlign w:val="center"/>
          </w:tcPr>
          <w:p w14:paraId="1985529E">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省人力资源和社会保障厅</w:t>
            </w:r>
          </w:p>
        </w:tc>
        <w:tc>
          <w:tcPr>
            <w:tcW w:w="2096" w:type="pct"/>
            <w:noWrap w:val="0"/>
            <w:tcMar>
              <w:top w:w="15" w:type="dxa"/>
              <w:left w:w="15" w:type="dxa"/>
              <w:bottom w:w="15" w:type="dxa"/>
              <w:right w:w="15" w:type="dxa"/>
            </w:tcMar>
            <w:vAlign w:val="center"/>
          </w:tcPr>
          <w:p w14:paraId="66E4F66B">
            <w:pPr>
              <w:widowControl/>
              <w:jc w:val="left"/>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洋浦经济开发区、文昌国际航天城</w:t>
            </w:r>
          </w:p>
        </w:tc>
        <w:tc>
          <w:tcPr>
            <w:tcW w:w="619" w:type="pct"/>
            <w:noWrap w:val="0"/>
            <w:tcMar>
              <w:top w:w="15" w:type="dxa"/>
              <w:left w:w="15" w:type="dxa"/>
              <w:bottom w:w="15" w:type="dxa"/>
              <w:right w:w="15" w:type="dxa"/>
            </w:tcMar>
            <w:vAlign w:val="center"/>
          </w:tcPr>
          <w:p w14:paraId="5CAD81EF">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335EF2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52A9BC3B">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16</w:t>
            </w:r>
          </w:p>
        </w:tc>
        <w:tc>
          <w:tcPr>
            <w:tcW w:w="1116" w:type="pct"/>
            <w:noWrap w:val="0"/>
            <w:tcMar>
              <w:top w:w="15" w:type="dxa"/>
              <w:left w:w="15" w:type="dxa"/>
              <w:bottom w:w="15" w:type="dxa"/>
              <w:right w:w="15" w:type="dxa"/>
            </w:tcMar>
            <w:vAlign w:val="center"/>
          </w:tcPr>
          <w:p w14:paraId="7809F189">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建设行业注册类人员（二级注册建筑师）执业资格的确认（初始、延续、变更注册）</w:t>
            </w:r>
          </w:p>
        </w:tc>
        <w:tc>
          <w:tcPr>
            <w:tcW w:w="863" w:type="pct"/>
            <w:noWrap w:val="0"/>
            <w:tcMar>
              <w:top w:w="15" w:type="dxa"/>
              <w:left w:w="15" w:type="dxa"/>
              <w:bottom w:w="15" w:type="dxa"/>
              <w:right w:w="15" w:type="dxa"/>
            </w:tcMar>
            <w:vAlign w:val="center"/>
          </w:tcPr>
          <w:p w14:paraId="62266476">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省住房和城乡建设厅</w:t>
            </w:r>
          </w:p>
        </w:tc>
        <w:tc>
          <w:tcPr>
            <w:tcW w:w="2096" w:type="pct"/>
            <w:noWrap w:val="0"/>
            <w:tcMar>
              <w:top w:w="15" w:type="dxa"/>
              <w:left w:w="15" w:type="dxa"/>
              <w:bottom w:w="15" w:type="dxa"/>
              <w:right w:w="15" w:type="dxa"/>
            </w:tcMar>
            <w:vAlign w:val="center"/>
          </w:tcPr>
          <w:p w14:paraId="503109CB">
            <w:pPr>
              <w:widowControl/>
              <w:jc w:val="left"/>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洋浦经济开发区、海口江东新区、海口国家高新技术产业开发区、海口综合保税区、三亚中央商务区、海南生态软件园、陵水黎安国际教育创新试验区</w:t>
            </w:r>
          </w:p>
        </w:tc>
        <w:tc>
          <w:tcPr>
            <w:tcW w:w="619" w:type="pct"/>
            <w:noWrap w:val="0"/>
            <w:tcMar>
              <w:top w:w="15" w:type="dxa"/>
              <w:left w:w="15" w:type="dxa"/>
              <w:bottom w:w="15" w:type="dxa"/>
              <w:right w:w="15" w:type="dxa"/>
            </w:tcMar>
            <w:vAlign w:val="center"/>
          </w:tcPr>
          <w:p w14:paraId="59DAC66A">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委托</w:t>
            </w:r>
          </w:p>
        </w:tc>
      </w:tr>
      <w:tr w14:paraId="6611C8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1A0A5F79">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17</w:t>
            </w:r>
          </w:p>
        </w:tc>
        <w:tc>
          <w:tcPr>
            <w:tcW w:w="1116" w:type="pct"/>
            <w:noWrap w:val="0"/>
            <w:tcMar>
              <w:top w:w="15" w:type="dxa"/>
              <w:left w:w="15" w:type="dxa"/>
              <w:bottom w:w="15" w:type="dxa"/>
              <w:right w:w="15" w:type="dxa"/>
            </w:tcMar>
            <w:vAlign w:val="center"/>
          </w:tcPr>
          <w:p w14:paraId="4FBE6A51">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超限高层建筑工程抗震设防核准</w:t>
            </w:r>
          </w:p>
        </w:tc>
        <w:tc>
          <w:tcPr>
            <w:tcW w:w="863" w:type="pct"/>
            <w:noWrap w:val="0"/>
            <w:tcMar>
              <w:top w:w="15" w:type="dxa"/>
              <w:left w:w="15" w:type="dxa"/>
              <w:bottom w:w="15" w:type="dxa"/>
              <w:right w:w="15" w:type="dxa"/>
            </w:tcMar>
            <w:vAlign w:val="center"/>
          </w:tcPr>
          <w:p w14:paraId="1DCBF229">
            <w:pPr>
              <w:widowControl/>
              <w:jc w:val="center"/>
              <w:rPr>
                <w:rFonts w:hint="eastAsia" w:ascii="仿宋" w:hAnsi="仿宋" w:eastAsia="仿宋" w:cs="仿宋"/>
                <w:b w:val="0"/>
                <w:bCs w:val="0"/>
                <w:i w:val="0"/>
                <w:iCs w:val="0"/>
                <w:smallCaps w:val="0"/>
                <w:color w:val="000000"/>
                <w:kern w:val="0"/>
                <w:sz w:val="24"/>
              </w:rPr>
            </w:pPr>
            <w:bookmarkStart w:id="5" w:name="_GoBack"/>
            <w:r>
              <w:rPr>
                <w:rFonts w:hint="eastAsia" w:ascii="仿宋" w:hAnsi="仿宋" w:eastAsia="仿宋" w:cs="仿宋"/>
                <w:b w:val="0"/>
                <w:bCs w:val="0"/>
                <w:i w:val="0"/>
                <w:iCs w:val="0"/>
                <w:smallCaps w:val="0"/>
                <w:color w:val="000000"/>
                <w:kern w:val="0"/>
                <w:sz w:val="24"/>
              </w:rPr>
              <w:t>省住房和城乡建设厅</w:t>
            </w:r>
            <w:bookmarkEnd w:id="5"/>
          </w:p>
        </w:tc>
        <w:tc>
          <w:tcPr>
            <w:tcW w:w="2096" w:type="pct"/>
            <w:noWrap w:val="0"/>
            <w:tcMar>
              <w:top w:w="15" w:type="dxa"/>
              <w:left w:w="15" w:type="dxa"/>
              <w:bottom w:w="15" w:type="dxa"/>
              <w:right w:w="15" w:type="dxa"/>
            </w:tcMar>
            <w:vAlign w:val="center"/>
          </w:tcPr>
          <w:p w14:paraId="37730749">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洋浦经济开发区、海口江东新区、海口国家高新技术产业开发区、海口综合保税区、三亚崖州湾科技城、三亚中央商务区、文昌国际航天城、海南生态软件园、陵水黎安国际教育创新试验区</w:t>
            </w:r>
          </w:p>
        </w:tc>
        <w:tc>
          <w:tcPr>
            <w:tcW w:w="619" w:type="pct"/>
            <w:noWrap w:val="0"/>
            <w:tcMar>
              <w:top w:w="15" w:type="dxa"/>
              <w:left w:w="15" w:type="dxa"/>
              <w:bottom w:w="15" w:type="dxa"/>
              <w:right w:w="15" w:type="dxa"/>
            </w:tcMar>
            <w:vAlign w:val="center"/>
          </w:tcPr>
          <w:p w14:paraId="6B0DB67A">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委托</w:t>
            </w:r>
          </w:p>
        </w:tc>
      </w:tr>
    </w:tbl>
    <w:p w14:paraId="05204E52">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Theme="minorEastAsia" w:hAnsiTheme="minorEastAsia" w:eastAsiaTheme="minorEastAsia" w:cstheme="minorEastAsia"/>
          <w:sz w:val="32"/>
          <w:lang w:val="en-US" w:eastAsia="zh-CN"/>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797724"/>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76B5C18"/>
    <w:rsid w:val="79821C63"/>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677</Words>
  <Characters>684</Characters>
  <Lines>87</Lines>
  <Paragraphs>24</Paragraphs>
  <TotalTime>11</TotalTime>
  <ScaleCrop>false</ScaleCrop>
  <LinksUpToDate>false</LinksUpToDate>
  <CharactersWithSpaces>684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2025-02-19T08:04:35Z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97D37F08245F4F7FA0A8F7BBB6A1371F_13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